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cs="Calibri" w:cstheme="minorHAnsi"/>
        </w:rPr>
      </w:pPr>
      <w:r>
        <w:rPr>
          <w:rFonts w:cs="Calibri" w:cstheme="minorHAnsi"/>
          <w:b/>
        </w:rPr>
        <w:t>OPIS ZAKŁADANYCH EFEKTÓW KSZTAŁCENIA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  <w:b/>
        </w:rPr>
        <w:t xml:space="preserve">NAZWA KIERUNKU STUDIÓW: </w:t>
      </w:r>
      <w:r>
        <w:rPr>
          <w:rFonts w:cs="Calibri" w:cstheme="minorHAnsi"/>
        </w:rPr>
        <w:t>Modelowanie matematyczne i analiza danych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  <w:b/>
        </w:rPr>
        <w:t xml:space="preserve">POZIOM STUDIÓW: </w:t>
      </w:r>
      <w:r>
        <w:rPr>
          <w:rFonts w:cs="Calibri" w:cstheme="minorHAnsi"/>
        </w:rPr>
        <w:t>drugi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  <w:b/>
        </w:rPr>
        <w:t xml:space="preserve">PROFIL STUDIÓW: </w:t>
      </w:r>
      <w:r>
        <w:rPr>
          <w:rFonts w:cs="Calibri" w:cstheme="minorHAnsi"/>
        </w:rPr>
        <w:t>ogólnoakademicki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Opis zakładanych efektów uczenia się uwzględnia uniwersalne charakterystyki pierwszego stopnia dla poziomów 6-7 określone w ustawie z dnia 22 grudnia 2015 r. o Zintegrowanym Systemie Kwalifikacji (Dz. U. z 2016 r., poz. 64 i 1010) oraz charakterystyki drugiego stopnia określone w rozporządzeniu Ministra Nauki i Szkolnictwa Wyższego z dnia 28 listopada 2018 r. w sprawie charakterystyk drugiego stopnia efektów uczenia się dla kwalifikacji na poziomach 6-8 Polskiej Ramy Kwalifikacji.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Tabela-Siatka"/>
        <w:tblW w:w="139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95"/>
        <w:gridCol w:w="6793"/>
        <w:gridCol w:w="1682"/>
        <w:gridCol w:w="4023"/>
      </w:tblGrid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</w:rPr>
              <w:t>Symbole efektów kierun-kowych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</w:rPr>
              <w:t>Absolwent studiów drugiego stopnia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</w:rPr>
              <w:t>Odniesienie do: uniwersalnych charakterystyk poziomów PRK oraz charakterystyk drugiego stopnia PRK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</w:rPr>
              <w:t>Przedmioty realizujące dany efekt</w:t>
            </w:r>
          </w:p>
        </w:tc>
      </w:tr>
      <w:tr>
        <w:trPr/>
        <w:tc>
          <w:tcPr>
            <w:tcW w:w="13993" w:type="dxa"/>
            <w:gridSpan w:val="4"/>
            <w:tcBorders/>
            <w:shd w:color="auto" w:fill="9CC2E5" w:themeFill="accent1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b/>
                <w:b/>
                <w:lang w:val="en-GB"/>
              </w:rPr>
            </w:pPr>
            <w:r>
              <w:rPr>
                <w:rFonts w:cs="Calibri" w:cstheme="minorHAnsi"/>
                <w:b/>
                <w:lang w:val="en-GB"/>
              </w:rPr>
              <w:t>WIEDZA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MMAD2_W01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w sposób pogłębiony teorię wybranych działów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P7S_WG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funkcjonalna z zastosowaniami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Procesy stochastyczne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Równania różniczkowe fizyki matematycznej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Zaawansowana analiza matematyczna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MMAD2_W02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dobrze rolę i znaczenie konstrukcji rozumowań matematycznych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P7S_WG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bCs/>
              </w:rPr>
              <w:t>P7S_WK</w:t>
            </w:r>
            <w:r>
              <w:rPr>
                <w:rFonts w:cs="Calibri" w:cstheme="minorHAnsi"/>
              </w:rPr>
              <w:t xml:space="preserve"> 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funkcjonalna z zastosowaniami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Procesy stochastyczne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Zaawansowana analiza matematyczna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</w:tc>
      </w:tr>
      <w:tr>
        <w:trPr/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MMAD2_W03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w sposób pogłębiony wybraną dziedzinę matematyki teoretycznej lub stosowanej i jest w stanie rozumieć sformułowania zagadnień tej dziedziny pozostających na etapie badań oraz zna powiązania zagadnień tej dziedziny z innymi działami matematyki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P7S_WG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funkcjonalna z zastosowaniami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Procesy stochastyczne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Równania różniczkowe fizyki matematycznej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MMAD2_W04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teoretyczne podstawy metod obliczeniowych oraz technik informatycznych służących do rozwiązywania problemów z wybranej dziedziny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P7S_WG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Wybrane zagadnienia z Machine Learning i Big Data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Informatyczne przedmioty fakultatywne</w:t>
            </w:r>
          </w:p>
        </w:tc>
      </w:tr>
      <w:tr>
        <w:trPr/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MMAD2_W05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w pełni wybrane pakiety lub techniki oprogramowania, służące do obliczeń symbolicznych lub do statystycznej obróbki danych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bCs/>
              </w:rPr>
              <w:t>P7S_WG</w:t>
            </w:r>
            <w:r>
              <w:rPr>
                <w:rFonts w:cs="Calibri" w:cstheme="minorHAnsi"/>
              </w:rPr>
              <w:t xml:space="preserve"> 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Wybrane zagadnienia z Machine Learning i Big Data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Przedmioty fakultatywne z metodami obliczeniowymi lub statystyczną analizą danych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MMAD2_W06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zasady bezpieczeństwa i higieny pracy w stopniu wystarczającym do samodzielnej pracy w zawodzie matematyka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Projekt zespołowy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Szkolenie </w:t>
            </w:r>
            <w:r>
              <w:rPr>
                <w:rFonts w:cs="Calibri" w:cstheme="minorHAnsi"/>
              </w:rPr>
              <w:t xml:space="preserve">z zakresu </w:t>
            </w:r>
            <w:r>
              <w:rPr>
                <w:rFonts w:cs="Calibri" w:cstheme="minorHAnsi"/>
              </w:rPr>
              <w:t>B</w:t>
            </w:r>
            <w:r>
              <w:rPr>
                <w:rFonts w:cs="Calibri" w:cstheme="minorHAnsi"/>
              </w:rPr>
              <w:t>i</w:t>
            </w:r>
            <w:r>
              <w:rPr>
                <w:rFonts w:cs="Calibri" w:cstheme="minorHAnsi"/>
              </w:rPr>
              <w:t>H</w:t>
            </w:r>
            <w:r>
              <w:rPr>
                <w:rFonts w:cs="Calibri" w:cstheme="minorHAnsi"/>
                <w:sz w:val="22"/>
              </w:rPr>
              <w:t>K</w:t>
            </w:r>
          </w:p>
        </w:tc>
      </w:tr>
      <w:tr>
        <w:trPr/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MMAD2_W07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podstawowe uwarunkowania prawne i etyczne związane z działalnością naukową i dydaktyczną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P7S_WK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Ochrona własności intelektualnej i prawo autorskie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MMAD2_W08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podstawowe pojęcia i zasady z zakresu ochrony własności przemysłowej i prawa autorskiego, potrafi korzystać z zasobów informacji patentowej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P7S_WK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Ochrona własności intelektualnej i prawo autorskie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MMAD2_W09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zna i rozumie ogólne zasady tworzenia i rozwoju form indywidualnej przedsiębiorczości, wykorzystującej wiedzę z zakresu matematyki i nauk pokrewnych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bCs/>
              </w:rPr>
              <w:t>P7S_W</w:t>
            </w:r>
            <w:r>
              <w:rPr>
                <w:rFonts w:cs="Calibri" w:cstheme="minorHAnsi"/>
              </w:rPr>
              <w:t>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Podstawy mikroprzedsiębiorczości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Praktyka zawodowa</w:t>
            </w:r>
          </w:p>
        </w:tc>
      </w:tr>
      <w:tr>
        <w:trPr/>
        <w:tc>
          <w:tcPr>
            <w:tcW w:w="13993" w:type="dxa"/>
            <w:gridSpan w:val="4"/>
            <w:tcBorders/>
            <w:shd w:color="auto" w:fill="A8D08D" w:themeFill="accent6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</w:rPr>
              <w:t>UMIEJĘTNOŚCI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MMAD2_U01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konstruować rozumowania matematyczne: dowodzić twierdzenia, jak i obalać hipotezy poprzez konstrukcje i dobór kontrprzykładów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funkcjonalna z zastosowaniami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Procesy stochastyczne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Zaawansowana analiza matematyczna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MMAD2_U02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wyrażać treści matematyczne w mowie i na piśmie, w tekstach matematycznych o różnym charakterze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Procesy stochastyczne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MMAD2_U03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rozumieć teksty matematyczne, o różnym charakterze, z wybranych dziedzin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MMAD2_U04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potrafi, na poziomie zaawansowanym i obejmującym matematykę współczesną, stosować oraz przedstawiać w mowie i na piśmie, metody co najmniej jednej wybranej gałęzi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Równania różniczkowe fizyki matematycznej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</w:tc>
      </w:tr>
      <w:tr>
        <w:trPr/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MMAD2_U05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w wybranej dziedzinie przeprowadzać dowody i analizy, w których stosuje w razie potrzeby również narzędzia z innych działów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P7S_UW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Równania różniczkowe fizyki matematycznej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Przedmioty fakultatywne z metodami obliczeniowymi lub statystyczną analizą danych</w:t>
            </w:r>
          </w:p>
        </w:tc>
      </w:tr>
      <w:tr>
        <w:trPr>
          <w:trHeight w:val="263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MMAD2_U06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zastosować metody i przykłady z wybranej dziedziny matematyki w pokrewnych dziedzinach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P7S_UO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funkcjonalna z zastosowaniami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vertAlign w:val="superscript"/>
              </w:rPr>
            </w:pPr>
            <w:r>
              <w:rPr>
                <w:rFonts w:cs="Calibri" w:cstheme="minorHAnsi"/>
              </w:rPr>
              <w:t>Równania różniczkowe fizyki matematycznej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Wybrane zagadnienia z Machine Learning i Big Data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Matematyczne przedmioty fakultatywne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Przedmioty fakultatywne z metodami obliczeniowymi lub statystyczną analizą danych</w:t>
            </w:r>
          </w:p>
        </w:tc>
      </w:tr>
      <w:tr>
        <w:trPr>
          <w:trHeight w:val="263" w:hRule="atLeast"/>
        </w:trPr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MMAD2_U07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określić swoje zainteresowania i je rozwijać; w szczególności jest w stanie nawiązać kontakt ze specjalistami w swojej dziedzinie, np. rozumieć ich wykłady przeznaczone dla młodych matematyków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P7S_UU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Przygotowanie do projektu zespołowego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Projekt zespołowy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Przedmioty fakultatywne</w:t>
            </w:r>
          </w:p>
        </w:tc>
      </w:tr>
      <w:tr>
        <w:trPr>
          <w:trHeight w:val="263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MMAD2_U08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w pogłębiony sposób przygotowywać prace pisemne w języku polskim i co najmniej jednym języku obcym, z wybranej dziedziny matematyki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P7S_UU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Pracownia magisterska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Język angielski</w:t>
            </w:r>
          </w:p>
        </w:tc>
      </w:tr>
      <w:tr>
        <w:trPr>
          <w:trHeight w:val="263" w:hRule="atLeast"/>
        </w:trPr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MMAD2_U09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w pogłębiony sposób przygotowywać wystąpienia ustne w języku polskim i co najmniej jednym języku obcym, z wybranej dziedziny matematyki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bCs/>
              </w:rPr>
              <w:t>P7S_UU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magisterskie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Język angielski</w:t>
            </w:r>
          </w:p>
        </w:tc>
      </w:tr>
      <w:tr>
        <w:trPr>
          <w:trHeight w:val="263" w:hRule="atLeast"/>
        </w:trPr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MMAD2_U10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posługiwać się co najmniej jednym językiem obcy na poziomie B2+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P7S_UK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Język angielski</w:t>
            </w:r>
          </w:p>
        </w:tc>
      </w:tr>
      <w:tr>
        <w:trPr>
          <w:trHeight w:val="263" w:hRule="atLeast"/>
        </w:trPr>
        <w:tc>
          <w:tcPr>
            <w:tcW w:w="149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MMAD2_U11</w:t>
            </w:r>
          </w:p>
        </w:tc>
        <w:tc>
          <w:tcPr>
            <w:tcW w:w="679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potrafi ocenić, na podstawowym poziomie, przydatność metod matematycznych i narzędzi informatycznych</w:t>
            </w:r>
          </w:p>
        </w:tc>
        <w:tc>
          <w:tcPr>
            <w:tcW w:w="168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P7S_UK</w:t>
            </w:r>
          </w:p>
          <w:p>
            <w:pPr>
              <w:pStyle w:val="Normal"/>
              <w:snapToGrid w:val="false"/>
              <w:spacing w:before="0" w:after="16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</w:rPr>
              <w:t>P7S_UO</w:t>
            </w:r>
          </w:p>
        </w:tc>
        <w:tc>
          <w:tcPr>
            <w:tcW w:w="402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Przygotowanie do projektu zespołowego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Projekt zespołowy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Wybrane zagadnienia z Machine Learning i Big Data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Przedmioty fakultatywne z zastosowań matematyki lub informatyczne</w:t>
            </w:r>
          </w:p>
        </w:tc>
      </w:tr>
      <w:tr>
        <w:trPr>
          <w:trHeight w:val="282" w:hRule="atLeast"/>
        </w:trPr>
        <w:tc>
          <w:tcPr>
            <w:tcW w:w="13993" w:type="dxa"/>
            <w:gridSpan w:val="4"/>
            <w:tcBorders/>
            <w:shd w:color="auto" w:fill="FFE599" w:themeFill="accent4" w:themeFillTint="66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</w:rPr>
              <w:t>KOMPETENCJE SPOŁECZNE</w:t>
            </w:r>
          </w:p>
        </w:tc>
      </w:tr>
      <w:tr>
        <w:trPr>
          <w:trHeight w:val="282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MMAD2_K01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uznania ograniczenia własnej wiedzy i jest gotów do dalszego kształcenia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  <w:lang w:val="en-US"/>
              </w:rPr>
              <w:t>P7S_KK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Wszystkie przedmioty</w:t>
            </w:r>
          </w:p>
        </w:tc>
      </w:tr>
      <w:tr>
        <w:trPr>
          <w:trHeight w:val="272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MMAD2_K02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precyzyjnego formułowania pytań, służących pogłębieniu własnego zrozumienia danego tematu lub odnalezieniu brakujących elementów rozumowania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bCs/>
                <w:lang w:val="en-US"/>
              </w:rPr>
              <w:t>P7S_KK</w:t>
            </w:r>
            <w:r>
              <w:rPr>
                <w:rFonts w:cs="Calibri" w:cstheme="minorHAnsi"/>
              </w:rPr>
              <w:t xml:space="preserve"> 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Wszystkie przedmioty matematyczne i informatyczne</w:t>
            </w:r>
          </w:p>
        </w:tc>
      </w:tr>
      <w:tr>
        <w:trPr>
          <w:trHeight w:val="276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MMAD2_K03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pracy zespołowej; rozumie konieczność systematycznej pracy nad wszelkimi projektami, które mają długofalowy charakter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  <w:lang w:val="en-US"/>
              </w:rPr>
              <w:t>P7S_KK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Przygotowanie do projektu zespołowego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Projekt zespołowy</w:t>
            </w:r>
          </w:p>
        </w:tc>
      </w:tr>
      <w:tr>
        <w:trPr>
          <w:trHeight w:val="266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MMAD2_K04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rozumienia i docenienia znaczenia uczciwości intelektualnej w działaniach własnych i innych osób; postępowania etycznego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  <w:lang w:val="en-US"/>
              </w:rPr>
              <w:t>P7S_KR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Wszystkie przedmioty</w:t>
            </w:r>
          </w:p>
        </w:tc>
      </w:tr>
      <w:tr>
        <w:trPr>
          <w:trHeight w:val="266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MMAD2_K05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samodzielnego wyszukiwania informacji w literaturze, także w językach obcych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Wszystkie przedmioty matematyczne i informatyczne</w:t>
            </w:r>
          </w:p>
        </w:tc>
      </w:tr>
      <w:tr>
        <w:trPr>
          <w:trHeight w:val="118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MMAD2_K06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formułowania opinii na temat podstawowych zagadnień matematycznych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bCs/>
                <w:lang w:val="en-US"/>
              </w:rPr>
              <w:t>P7S_KR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Wszystkie przedmioty matematyczne</w:t>
            </w:r>
          </w:p>
        </w:tc>
      </w:tr>
      <w:tr>
        <w:trPr>
          <w:trHeight w:val="118" w:hRule="atLeast"/>
        </w:trPr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MMAD2_K07</w:t>
            </w:r>
          </w:p>
        </w:tc>
        <w:tc>
          <w:tcPr>
            <w:tcW w:w="679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  <w:t>jest gotów do myślenia i działania w sposób przedsiębiorczy</w:t>
            </w:r>
          </w:p>
        </w:tc>
        <w:tc>
          <w:tcPr>
            <w:tcW w:w="1682" w:type="dxa"/>
            <w:tcBorders/>
            <w:shd w:color="auto" w:fill="auto" w:val="clear"/>
            <w:vAlign w:val="cente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bCs/>
              </w:rPr>
              <w:t>P7S_KO</w:t>
            </w:r>
          </w:p>
        </w:tc>
        <w:tc>
          <w:tcPr>
            <w:tcW w:w="4023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Podstawy mikroprzedsiębiorczości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Praktyka zawodowa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ind w:firstLine="408"/>
        <w:rPr>
          <w:rFonts w:ascii="TimesNewRoman" w:hAnsi="TimesNewRoman" w:cs="TimesNewRoman"/>
        </w:rPr>
      </w:pPr>
      <w:r>
        <w:rPr>
          <w:rFonts w:cs="TimesNewRoman" w:ascii="TimesNewRoman" w:hAnsi="TimesNewRoman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NewRoman" w:hAnsi="TimesNewRoman" w:cs="TimesNewRoman"/>
        </w:rPr>
      </w:pPr>
      <w:r>
        <w:rPr>
          <w:rFonts w:cs="TimesNewRoman" w:ascii="TimesNewRoman" w:hAnsi="TimesNewRoman"/>
        </w:rPr>
      </w:r>
    </w:p>
    <w:p>
      <w:pPr>
        <w:pStyle w:val="Normal"/>
        <w:spacing w:lineRule="auto" w:line="240" w:before="0" w:after="0"/>
        <w:rPr/>
      </w:pPr>
      <w:r>
        <w:rPr/>
        <w:tab/>
        <w:t xml:space="preserve"> </w:t>
      </w:r>
    </w:p>
    <w:sectPr>
      <w:footerReference w:type="default" r:id="rId2"/>
      <w:type w:val="nextPage"/>
      <w:pgSz w:orient="landscape" w:w="16838" w:h="11906"/>
      <w:pgMar w:left="1417" w:right="1417" w:header="0" w:top="850" w:footer="850" w:bottom="155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New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0887643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2"/>
  <w:defaultTabStop w:val="408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140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 w:customStyle="1">
    <w:name w:val="Heading 1"/>
    <w:basedOn w:val="Nagwek11"/>
    <w:next w:val="Tretekstu"/>
    <w:qFormat/>
    <w:rsid w:val="00c37d8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1"/>
    <w:uiPriority w:val="99"/>
    <w:qFormat/>
    <w:rsid w:val="00c179cc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179c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b6961"/>
    <w:rPr>
      <w:rFonts w:ascii="Segoe UI" w:hAnsi="Segoe UI" w:cs="Segoe UI"/>
      <w:sz w:val="18"/>
      <w:szCs w:val="18"/>
    </w:rPr>
  </w:style>
  <w:style w:type="character" w:styleId="Znakiwypunktowania" w:customStyle="1">
    <w:name w:val="Znaki wypunktowania"/>
    <w:qFormat/>
    <w:rsid w:val="00c37d80"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rsid w:val="00c37d80"/>
    <w:pPr>
      <w:spacing w:lineRule="auto" w:line="276" w:before="0" w:after="140"/>
    </w:pPr>
    <w:rPr/>
  </w:style>
  <w:style w:type="paragraph" w:styleId="Lista">
    <w:name w:val="List"/>
    <w:basedOn w:val="Tretekstu"/>
    <w:rsid w:val="00c37d80"/>
    <w:pPr/>
    <w:rPr>
      <w:rFonts w:cs="Lucida Sans"/>
    </w:rPr>
  </w:style>
  <w:style w:type="paragraph" w:styleId="Caption" w:customStyle="1">
    <w:name w:val="Caption"/>
    <w:basedOn w:val="Normal"/>
    <w:qFormat/>
    <w:rsid w:val="00c37d8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c37d80"/>
    <w:pPr>
      <w:suppressLineNumbers/>
    </w:pPr>
    <w:rPr>
      <w:rFonts w:cs="Lucida Sans"/>
    </w:rPr>
  </w:style>
  <w:style w:type="paragraph" w:styleId="Nagwek11" w:customStyle="1">
    <w:name w:val="Nagłówek1"/>
    <w:basedOn w:val="Normal"/>
    <w:next w:val="Tretekstu"/>
    <w:link w:val="NagwekZnak"/>
    <w:qFormat/>
    <w:rsid w:val="00c37d80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"/>
    <w:basedOn w:val="Normal"/>
    <w:qFormat/>
    <w:rsid w:val="00c37d8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a14530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uiPriority w:val="99"/>
    <w:unhideWhenUsed/>
    <w:rsid w:val="00c179cc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FooterChar"/>
    <w:uiPriority w:val="99"/>
    <w:unhideWhenUsed/>
    <w:rsid w:val="00c179cc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b696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1" w:customStyle="1">
    <w:name w:val="Akapit z listą1"/>
    <w:basedOn w:val="Normal"/>
    <w:qFormat/>
    <w:rsid w:val="00c37d80"/>
    <w:pPr>
      <w:spacing w:lineRule="auto" w:line="276" w:before="0" w:after="200"/>
      <w:ind w:left="720" w:hanging="0"/>
    </w:pPr>
    <w:rPr>
      <w:rFonts w:ascii="Calibri" w:hAnsi="Calibri" w:eastAsia="Calibri" w:cs="Calibri"/>
      <w:color w:val="000000"/>
    </w:rPr>
  </w:style>
  <w:style w:type="paragraph" w:styleId="Zawartotabeli" w:customStyle="1">
    <w:name w:val="Zawartość tabeli"/>
    <w:basedOn w:val="Normal"/>
    <w:qFormat/>
    <w:rsid w:val="00c37d80"/>
    <w:pPr>
      <w:suppressLineNumbers/>
    </w:pPr>
    <w:rPr/>
  </w:style>
  <w:style w:type="paragraph" w:styleId="Nagwektabeli" w:customStyle="1">
    <w:name w:val="Nagłówek tabeli"/>
    <w:basedOn w:val="Zawartotabeli"/>
    <w:qFormat/>
    <w:rsid w:val="00c37d80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8140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51D1DF-91D1-40E1-814D-7F6BD221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Application>LibreOffice/6.4.7.2$Linux_X86_64 LibreOffice_project/40$Build-2</Application>
  <Pages>5</Pages>
  <Words>878</Words>
  <Characters>6327</Characters>
  <CharactersWithSpaces>7015</CharactersWithSpaces>
  <Paragraphs>197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2019-09-30T13:12:00Z</dcterms:created>
  <dc:creator>Anna Smykowska</dc:creator>
  <dc:description/>
  <dc:language>pl-PL</dc:language>
  <cp:lastModifiedBy/>
  <cp:lastPrinted>2020-04-19T18:02:00Z</cp:lastPrinted>
  <dcterms:modified xsi:type="dcterms:W3CDTF">2022-03-04T11:00:47Z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