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4E59" w14:textId="77777777" w:rsidR="00391207" w:rsidRPr="00352984" w:rsidRDefault="00391207" w:rsidP="00D761A2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352984">
        <w:rPr>
          <w:rFonts w:ascii="Times New Roman" w:hAnsi="Times New Roman" w:cs="Times New Roman"/>
          <w:i/>
        </w:rPr>
        <w:t>Załącznik nr</w:t>
      </w:r>
      <w:r w:rsidR="00DB1852" w:rsidRPr="00352984">
        <w:rPr>
          <w:rFonts w:ascii="Times New Roman" w:hAnsi="Times New Roman" w:cs="Times New Roman"/>
          <w:i/>
        </w:rPr>
        <w:t xml:space="preserve"> 6</w:t>
      </w:r>
      <w:r w:rsidRPr="00352984">
        <w:rPr>
          <w:rFonts w:ascii="Times New Roman" w:hAnsi="Times New Roman" w:cs="Times New Roman"/>
          <w:i/>
        </w:rPr>
        <w:t xml:space="preserve"> </w:t>
      </w:r>
    </w:p>
    <w:p w14:paraId="54772863" w14:textId="77777777" w:rsidR="00391207" w:rsidRPr="00352984" w:rsidRDefault="00E44475" w:rsidP="00D761A2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352984">
        <w:rPr>
          <w:rFonts w:ascii="Times New Roman" w:hAnsi="Times New Roman" w:cs="Times New Roman"/>
          <w:i/>
        </w:rPr>
        <w:t>d</w:t>
      </w:r>
      <w:r w:rsidR="00391207" w:rsidRPr="00352984">
        <w:rPr>
          <w:rFonts w:ascii="Times New Roman" w:hAnsi="Times New Roman" w:cs="Times New Roman"/>
          <w:i/>
        </w:rPr>
        <w:t xml:space="preserve">o </w:t>
      </w:r>
      <w:r w:rsidR="009B1FF7" w:rsidRPr="00352984">
        <w:rPr>
          <w:rFonts w:ascii="Times New Roman" w:hAnsi="Times New Roman" w:cs="Times New Roman"/>
          <w:i/>
        </w:rPr>
        <w:t>R</w:t>
      </w:r>
      <w:r w:rsidR="0069443D" w:rsidRPr="00352984">
        <w:rPr>
          <w:rFonts w:ascii="Times New Roman" w:hAnsi="Times New Roman" w:cs="Times New Roman"/>
          <w:i/>
        </w:rPr>
        <w:t>egulaminu udzielania</w:t>
      </w:r>
      <w:r w:rsidR="00391207" w:rsidRPr="00352984">
        <w:rPr>
          <w:rFonts w:ascii="Times New Roman" w:hAnsi="Times New Roman" w:cs="Times New Roman"/>
          <w:i/>
        </w:rPr>
        <w:t xml:space="preserve"> zamówień publicznych w UG</w:t>
      </w:r>
    </w:p>
    <w:p w14:paraId="672A6659" w14:textId="77777777" w:rsidR="00391207" w:rsidRPr="00352984" w:rsidRDefault="00391207" w:rsidP="00D761A2">
      <w:pPr>
        <w:tabs>
          <w:tab w:val="left" w:pos="709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D6B04F" w14:textId="77777777" w:rsidR="009B1FF7" w:rsidRPr="00352984" w:rsidRDefault="00DB1852" w:rsidP="00D761A2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9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70641" w14:textId="77777777" w:rsidR="00DB1852" w:rsidRPr="00352984" w:rsidRDefault="00DB1852" w:rsidP="00D761A2">
      <w:pPr>
        <w:pStyle w:val="Default"/>
        <w:spacing w:line="276" w:lineRule="auto"/>
        <w:rPr>
          <w:rFonts w:eastAsia="Calibri"/>
          <w:b/>
          <w:color w:val="auto"/>
          <w:lang w:eastAsia="en-US"/>
        </w:rPr>
      </w:pPr>
      <w:r w:rsidRPr="00352984">
        <w:rPr>
          <w:b/>
          <w:bCs/>
          <w:color w:val="auto"/>
        </w:rPr>
        <w:t xml:space="preserve">WSKAZÓWKI DOTYCZĄCE STOSOWANIA PRZY UDZIELANYCH </w:t>
      </w:r>
      <w:r w:rsidR="00E44475" w:rsidRPr="00352984">
        <w:rPr>
          <w:b/>
          <w:bCs/>
          <w:color w:val="auto"/>
        </w:rPr>
        <w:br/>
      </w:r>
      <w:r w:rsidRPr="00352984">
        <w:rPr>
          <w:b/>
          <w:bCs/>
          <w:color w:val="auto"/>
        </w:rPr>
        <w:t xml:space="preserve">W </w:t>
      </w:r>
      <w:r w:rsidR="00E44475" w:rsidRPr="00352984">
        <w:rPr>
          <w:b/>
          <w:bCs/>
          <w:color w:val="auto"/>
        </w:rPr>
        <w:t xml:space="preserve">UNIWERSYTECIE GDAŃSKIM </w:t>
      </w:r>
      <w:r w:rsidRPr="00352984">
        <w:rPr>
          <w:b/>
          <w:bCs/>
          <w:color w:val="auto"/>
        </w:rPr>
        <w:t xml:space="preserve">ZAMÓWIENIACH PUBLICZNYCH </w:t>
      </w:r>
      <w:r w:rsidR="00E44475" w:rsidRPr="00352984">
        <w:rPr>
          <w:b/>
          <w:bCs/>
          <w:color w:val="auto"/>
        </w:rPr>
        <w:br/>
      </w:r>
      <w:r w:rsidRPr="00352984">
        <w:rPr>
          <w:b/>
          <w:bCs/>
          <w:color w:val="auto"/>
        </w:rPr>
        <w:t xml:space="preserve">ASPEKTÓW </w:t>
      </w:r>
      <w:r w:rsidRPr="00352984">
        <w:rPr>
          <w:rFonts w:eastAsia="Calibri"/>
          <w:b/>
          <w:color w:val="auto"/>
          <w:lang w:eastAsia="en-US"/>
        </w:rPr>
        <w:t>SPOŁECZNYCH, ŚRODOWISKOWYCH I INNOWACYJNYCH</w:t>
      </w:r>
    </w:p>
    <w:p w14:paraId="02EB378F" w14:textId="77777777" w:rsidR="00C10001" w:rsidRPr="00352984" w:rsidRDefault="00C10001" w:rsidP="00D761A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9E9850" w14:textId="77777777" w:rsidR="00D761A2" w:rsidRPr="00352984" w:rsidRDefault="00D761A2" w:rsidP="00D761A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4E13A7" w14:textId="77777777" w:rsidR="003C4650" w:rsidRPr="00352984" w:rsidRDefault="001921CD" w:rsidP="00D761A2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b/>
          <w:bCs/>
          <w:kern w:val="24"/>
          <w:sz w:val="24"/>
          <w:szCs w:val="24"/>
          <w:lang w:eastAsia="pl-PL"/>
        </w:rPr>
        <w:t>ASPEKT</w:t>
      </w:r>
      <w:r w:rsidR="002C699D" w:rsidRPr="00352984">
        <w:rPr>
          <w:rFonts w:ascii="Times New Roman" w:eastAsia="DejaVu Sans" w:hAnsi="Times New Roman" w:cs="Times New Roman"/>
          <w:b/>
          <w:bCs/>
          <w:kern w:val="24"/>
          <w:sz w:val="24"/>
          <w:szCs w:val="24"/>
          <w:lang w:eastAsia="pl-PL"/>
        </w:rPr>
        <w:t>Y SPOŁECZNE</w:t>
      </w:r>
    </w:p>
    <w:p w14:paraId="0A6959E7" w14:textId="245A42D0" w:rsidR="00697028" w:rsidRPr="00352984" w:rsidRDefault="00697028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</w:p>
    <w:p w14:paraId="62FEEB44" w14:textId="2972907B" w:rsidR="00587F8D" w:rsidRPr="00352984" w:rsidRDefault="00697028" w:rsidP="00D761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>Zamówienia publiczne po</w:t>
      </w:r>
      <w:r w:rsidR="00A92289">
        <w:rPr>
          <w:rFonts w:ascii="Times New Roman" w:hAnsi="Times New Roman" w:cs="Times New Roman"/>
          <w:sz w:val="24"/>
          <w:szCs w:val="24"/>
          <w:shd w:val="clear" w:color="auto" w:fill="FFFFFF"/>
        </w:rPr>
        <w:t>zwalają na uwzględnienie przez Z</w:t>
      </w:r>
      <w:r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amawiających różnych aspektów społecznych, w tym tworzenia nowych miejsc pracy, przestrzegania przepisów prawa pracy w </w:t>
      </w:r>
      <w:r w:rsidR="0062118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>zakresie zatrudniania, wsparcia zrównoważonego rozwoju społeczno-ekonomicznego kraju, uwzględniającego integrację osób społecznie marginalizowanych, stabilność zatrudnienia i prawo do godnej pracy oraz potrzeby osób niepełnosprawnych, w tym wymagań w zakresie dostępności dla osób niepełnosprawnych lub projektowania z przeznaczeniem dla wszystkich użytkowników.</w:t>
      </w:r>
    </w:p>
    <w:p w14:paraId="6A05A809" w14:textId="77777777" w:rsidR="00C10001" w:rsidRPr="00352984" w:rsidRDefault="00C10001" w:rsidP="00D761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CFEFC1" w14:textId="77777777" w:rsidR="007F6B22" w:rsidRPr="00352984" w:rsidRDefault="002C699D" w:rsidP="00D76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KLAUZULE SPOŁECZNE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są s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zczególnym instrumentem przewidzianym w ustawie Pzp, umożliwiającym uwzględnienie kwestii społecznych w procedurze udzielania zamówienia publicznego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. M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ianem tym określa się</w:t>
      </w:r>
      <w:r w:rsidR="007F6B22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360A640" w14:textId="224B09B3" w:rsidR="007F6B22" w:rsidRPr="00352984" w:rsidRDefault="004E6768" w:rsidP="00D500F8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tzw. </w:t>
      </w: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zamówienia zastrzeżone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art. </w:t>
      </w:r>
      <w:r w:rsidR="587FD569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94</w:t>
      </w:r>
      <w:r w:rsidR="00D500F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3430D7AC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0716F3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 </w:t>
      </w:r>
      <w:r w:rsidR="3DB2B8B4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361</w:t>
      </w:r>
      <w:r w:rsidR="000716F3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Pzp oraz </w:t>
      </w:r>
    </w:p>
    <w:p w14:paraId="3A92CFF9" w14:textId="6D4DB17A" w:rsidR="002C699D" w:rsidRPr="00352984" w:rsidRDefault="004E6768" w:rsidP="00D500F8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dodatkowe wymagania związane z realizacją zamówienia</w:t>
      </w:r>
      <w:r w:rsid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może, a </w:t>
      </w:r>
      <w:r w:rsidR="006211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211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wymagań odnoszących się do zatrudnienia na podstawie umowy o pracę, jest zobowiązany określić w opisie przedmiotu zamówienia w oparciu o art. </w:t>
      </w:r>
      <w:r w:rsidR="63ABF547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131C5E27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4A22AD01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5DD7B15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="00D500F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Pzp.</w:t>
      </w:r>
    </w:p>
    <w:p w14:paraId="5A39BBE3" w14:textId="77777777" w:rsidR="002C699D" w:rsidRPr="00352984" w:rsidRDefault="002C699D" w:rsidP="00D761A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982BC" w14:textId="145435FC" w:rsidR="007F6B22" w:rsidRPr="00352984" w:rsidRDefault="00D761A2" w:rsidP="00D76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Ad. 1)</w:t>
      </w:r>
    </w:p>
    <w:p w14:paraId="03A1B3C7" w14:textId="51746F3E" w:rsidR="00D761A2" w:rsidRPr="00352984" w:rsidRDefault="004E6768" w:rsidP="00D761A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Zamówienia zastrzeżone</w:t>
      </w:r>
      <w:r w:rsid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 Z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amawiającemu ograniczenie prawa ubiegania się o dane zamówienie do wykonawców </w:t>
      </w:r>
      <w:r w:rsidR="0E25C453" w:rsidRPr="00352984">
        <w:rPr>
          <w:rFonts w:ascii="Times New Roman" w:eastAsia="Calibri" w:hAnsi="Times New Roman" w:cs="Times New Roman"/>
          <w:sz w:val="24"/>
          <w:szCs w:val="24"/>
        </w:rPr>
        <w:t>mających status zakład</w:t>
      </w:r>
      <w:r w:rsidR="006C736D">
        <w:rPr>
          <w:rFonts w:ascii="Times New Roman" w:eastAsia="Calibri" w:hAnsi="Times New Roman" w:cs="Times New Roman"/>
          <w:sz w:val="24"/>
          <w:szCs w:val="24"/>
        </w:rPr>
        <w:t>u pracy chronionej, spółdzielni socjalnych</w:t>
      </w:r>
      <w:r w:rsidR="0E25C453" w:rsidRPr="00352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736D">
        <w:rPr>
          <w:rFonts w:ascii="Times New Roman" w:eastAsia="Calibri" w:hAnsi="Times New Roman" w:cs="Times New Roman"/>
          <w:sz w:val="24"/>
          <w:szCs w:val="24"/>
        </w:rPr>
        <w:t>oraz innych wykonawców</w:t>
      </w:r>
      <w:r w:rsidR="0E25C453" w:rsidRPr="00352984">
        <w:rPr>
          <w:rFonts w:ascii="Times New Roman" w:eastAsia="Calibri" w:hAnsi="Times New Roman" w:cs="Times New Roman"/>
          <w:sz w:val="24"/>
          <w:szCs w:val="24"/>
        </w:rPr>
        <w:t xml:space="preserve">, których głównym celem lub głównym celem działalności ich wyodrębnionych organizacyjnie jednostek, które będą realizowały zamówienie, jest społeczna i zawodowa integracja osób społecznie marginalizowanych. </w:t>
      </w:r>
    </w:p>
    <w:p w14:paraId="0A82B4BB" w14:textId="6E44FB39" w:rsidR="00D761A2" w:rsidRPr="00352984" w:rsidRDefault="002C699D" w:rsidP="00D761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2984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  <w:r w:rsidR="000716F3" w:rsidRPr="0035298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52984">
        <w:rPr>
          <w:rFonts w:ascii="Times New Roman" w:hAnsi="Times New Roman" w:cs="Times New Roman"/>
          <w:b/>
          <w:sz w:val="24"/>
          <w:szCs w:val="24"/>
        </w:rPr>
        <w:t>(</w:t>
      </w:r>
      <w:r w:rsidR="0006704F">
        <w:rPr>
          <w:rFonts w:ascii="Times New Roman" w:hAnsi="Times New Roman" w:cs="Times New Roman"/>
          <w:b/>
          <w:sz w:val="24"/>
          <w:szCs w:val="24"/>
        </w:rPr>
        <w:t>z</w:t>
      </w:r>
      <w:r w:rsidRPr="00352984">
        <w:rPr>
          <w:rFonts w:ascii="Times New Roman" w:hAnsi="Times New Roman" w:cs="Times New Roman"/>
          <w:b/>
          <w:sz w:val="24"/>
          <w:szCs w:val="24"/>
        </w:rPr>
        <w:t>amówienia zastrzeżone)</w:t>
      </w:r>
      <w:r w:rsidR="000716F3" w:rsidRPr="00352984">
        <w:rPr>
          <w:rFonts w:ascii="Times New Roman" w:hAnsi="Times New Roman" w:cs="Times New Roman"/>
          <w:b/>
          <w:sz w:val="24"/>
          <w:szCs w:val="24"/>
        </w:rPr>
        <w:t>:</w:t>
      </w:r>
    </w:p>
    <w:p w14:paraId="509BA7F7" w14:textId="7ADC7017" w:rsidR="00D761A2" w:rsidRPr="00352984" w:rsidRDefault="002C699D" w:rsidP="00D761A2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hAnsi="Times New Roman" w:cs="Times New Roman"/>
          <w:sz w:val="24"/>
          <w:szCs w:val="24"/>
        </w:rPr>
        <w:t>Przed wszczęciem postępowania należy rozważyć, czy ze względu na cel zamówienia lub cele polityki</w:t>
      </w:r>
      <w:r w:rsidR="00A92289">
        <w:rPr>
          <w:rFonts w:ascii="Times New Roman" w:hAnsi="Times New Roman" w:cs="Times New Roman"/>
          <w:sz w:val="24"/>
          <w:szCs w:val="24"/>
        </w:rPr>
        <w:t xml:space="preserve"> społecznej realizowanej przez Z</w:t>
      </w:r>
      <w:r w:rsidRPr="00352984">
        <w:rPr>
          <w:rFonts w:ascii="Times New Roman" w:hAnsi="Times New Roman" w:cs="Times New Roman"/>
          <w:sz w:val="24"/>
          <w:szCs w:val="24"/>
        </w:rPr>
        <w:t>amawiającego, zasadne jest zastrzeżenie, że o</w:t>
      </w:r>
      <w:r w:rsidR="000959BB" w:rsidRPr="00352984">
        <w:rPr>
          <w:rFonts w:ascii="Times New Roman" w:hAnsi="Times New Roman" w:cs="Times New Roman"/>
          <w:sz w:val="24"/>
          <w:szCs w:val="24"/>
        </w:rPr>
        <w:t> </w:t>
      </w:r>
      <w:r w:rsidRPr="00352984">
        <w:rPr>
          <w:rFonts w:ascii="Times New Roman" w:hAnsi="Times New Roman" w:cs="Times New Roman"/>
          <w:sz w:val="24"/>
          <w:szCs w:val="24"/>
        </w:rPr>
        <w:t xml:space="preserve">zamówienie mogą ubiegać się wyłącznie wykonawcy </w:t>
      </w:r>
      <w:r w:rsidR="008C59F4">
        <w:rPr>
          <w:rFonts w:ascii="Times New Roman" w:hAnsi="Times New Roman" w:cs="Times New Roman"/>
          <w:sz w:val="24"/>
          <w:szCs w:val="24"/>
        </w:rPr>
        <w:t xml:space="preserve">mający status </w:t>
      </w:r>
      <w:r w:rsidRPr="00352984">
        <w:rPr>
          <w:rFonts w:ascii="Times New Roman" w:hAnsi="Times New Roman" w:cs="Times New Roman"/>
          <w:sz w:val="24"/>
          <w:szCs w:val="24"/>
        </w:rPr>
        <w:t>zakład</w:t>
      </w:r>
      <w:r w:rsidR="008C59F4">
        <w:rPr>
          <w:rFonts w:ascii="Times New Roman" w:hAnsi="Times New Roman" w:cs="Times New Roman"/>
          <w:sz w:val="24"/>
          <w:szCs w:val="24"/>
        </w:rPr>
        <w:t>u</w:t>
      </w:r>
      <w:r w:rsidRPr="00352984">
        <w:rPr>
          <w:rFonts w:ascii="Times New Roman" w:hAnsi="Times New Roman" w:cs="Times New Roman"/>
          <w:sz w:val="24"/>
          <w:szCs w:val="24"/>
        </w:rPr>
        <w:t xml:space="preserve"> pracy chronionej</w:t>
      </w:r>
      <w:r w:rsidR="008C59F4">
        <w:rPr>
          <w:rFonts w:ascii="Times New Roman" w:hAnsi="Times New Roman" w:cs="Times New Roman"/>
          <w:sz w:val="24"/>
          <w:szCs w:val="24"/>
        </w:rPr>
        <w:t>, spółdzielnie socjalne</w:t>
      </w:r>
      <w:r w:rsidRPr="00352984">
        <w:rPr>
          <w:rFonts w:ascii="Times New Roman" w:hAnsi="Times New Roman" w:cs="Times New Roman"/>
          <w:sz w:val="24"/>
          <w:szCs w:val="24"/>
        </w:rPr>
        <w:t xml:space="preserve"> oraz inni wykonawcy, których </w:t>
      </w:r>
      <w:r w:rsidR="008C59F4">
        <w:rPr>
          <w:rFonts w:ascii="Times New Roman" w:hAnsi="Times New Roman" w:cs="Times New Roman"/>
          <w:sz w:val="24"/>
          <w:szCs w:val="24"/>
        </w:rPr>
        <w:t xml:space="preserve">główny cel </w:t>
      </w:r>
      <w:r w:rsidRPr="00352984">
        <w:rPr>
          <w:rFonts w:ascii="Times New Roman" w:hAnsi="Times New Roman" w:cs="Times New Roman"/>
          <w:sz w:val="24"/>
          <w:szCs w:val="24"/>
        </w:rPr>
        <w:t>działalnoś</w:t>
      </w:r>
      <w:r w:rsidR="008C59F4">
        <w:rPr>
          <w:rFonts w:ascii="Times New Roman" w:hAnsi="Times New Roman" w:cs="Times New Roman"/>
          <w:sz w:val="24"/>
          <w:szCs w:val="24"/>
        </w:rPr>
        <w:t>ci</w:t>
      </w:r>
      <w:r w:rsidRPr="00352984">
        <w:rPr>
          <w:rFonts w:ascii="Times New Roman" w:hAnsi="Times New Roman" w:cs="Times New Roman"/>
          <w:sz w:val="24"/>
          <w:szCs w:val="24"/>
        </w:rPr>
        <w:t xml:space="preserve"> (lub </w:t>
      </w:r>
      <w:r w:rsidR="008C59F4">
        <w:rPr>
          <w:rFonts w:ascii="Times New Roman" w:hAnsi="Times New Roman" w:cs="Times New Roman"/>
          <w:sz w:val="24"/>
          <w:szCs w:val="24"/>
        </w:rPr>
        <w:t xml:space="preserve">główny cel </w:t>
      </w:r>
      <w:r w:rsidRPr="00352984">
        <w:rPr>
          <w:rFonts w:ascii="Times New Roman" w:hAnsi="Times New Roman" w:cs="Times New Roman"/>
          <w:sz w:val="24"/>
          <w:szCs w:val="24"/>
        </w:rPr>
        <w:t>działalnoś</w:t>
      </w:r>
      <w:r w:rsidR="008C59F4">
        <w:rPr>
          <w:rFonts w:ascii="Times New Roman" w:hAnsi="Times New Roman" w:cs="Times New Roman"/>
          <w:sz w:val="24"/>
          <w:szCs w:val="24"/>
        </w:rPr>
        <w:t>ci</w:t>
      </w:r>
      <w:r w:rsidRPr="00352984">
        <w:rPr>
          <w:rFonts w:ascii="Times New Roman" w:hAnsi="Times New Roman" w:cs="Times New Roman"/>
          <w:sz w:val="24"/>
          <w:szCs w:val="24"/>
        </w:rPr>
        <w:t xml:space="preserve"> ich wyodrębnionych organizacyjnie jednostek, które będą realizowały zamówienie), </w:t>
      </w:r>
      <w:r w:rsidR="00327286">
        <w:rPr>
          <w:rFonts w:ascii="Times New Roman" w:hAnsi="Times New Roman" w:cs="Times New Roman"/>
          <w:sz w:val="24"/>
          <w:szCs w:val="24"/>
        </w:rPr>
        <w:t xml:space="preserve">obejmuje </w:t>
      </w:r>
      <w:r w:rsidRPr="00352984">
        <w:rPr>
          <w:rFonts w:ascii="Times New Roman" w:hAnsi="Times New Roman" w:cs="Times New Roman"/>
          <w:sz w:val="24"/>
          <w:szCs w:val="24"/>
        </w:rPr>
        <w:t>społeczną i zawodową integrację osób społecznie marginalizowanych.</w:t>
      </w:r>
    </w:p>
    <w:p w14:paraId="505D5C1D" w14:textId="7E87863E" w:rsidR="002C699D" w:rsidRPr="00352984" w:rsidRDefault="002C699D" w:rsidP="00D761A2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hAnsi="Times New Roman" w:cs="Times New Roman"/>
          <w:sz w:val="24"/>
          <w:szCs w:val="24"/>
        </w:rPr>
        <w:t>Za członków grup społecznie marginalizowanych uznaje się w szczególności:</w:t>
      </w:r>
    </w:p>
    <w:p w14:paraId="54E72D06" w14:textId="09D0759A" w:rsidR="705CF49D" w:rsidRPr="00352984" w:rsidRDefault="006C73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osob</w:t>
      </w:r>
      <w:r>
        <w:rPr>
          <w:rFonts w:ascii="Times New Roman" w:hAnsi="Times New Roman" w:cs="Times New Roman"/>
          <w:sz w:val="24"/>
          <w:szCs w:val="24"/>
        </w:rPr>
        <w:t>y niepełnosprawne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w rozumieniu ustawy z dnia 27 sierpnia 1997 r. o rehabilitacji zawodowej i społecznej oraz zatrudnianiu osób niepełnosprawnych (Dz. U. z 2019 r. poz. </w:t>
      </w:r>
      <w:r w:rsidR="00812B6F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>1172, 1495</w:t>
      </w:r>
      <w:r w:rsidR="00D63D33">
        <w:rPr>
          <w:rFonts w:ascii="Times New Roman" w:hAnsi="Times New Roman" w:cs="Times New Roman"/>
          <w:sz w:val="24"/>
          <w:szCs w:val="24"/>
        </w:rPr>
        <w:t>,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</w:t>
      </w:r>
      <w:r w:rsidR="00D63D33">
        <w:rPr>
          <w:rFonts w:ascii="Times New Roman" w:hAnsi="Times New Roman" w:cs="Times New Roman"/>
          <w:sz w:val="24"/>
          <w:szCs w:val="24"/>
        </w:rPr>
        <w:t>1</w:t>
      </w:r>
      <w:r w:rsidR="0E33FD6D" w:rsidRPr="00352984">
        <w:rPr>
          <w:rFonts w:ascii="Times New Roman" w:hAnsi="Times New Roman" w:cs="Times New Roman"/>
          <w:sz w:val="24"/>
          <w:szCs w:val="24"/>
        </w:rPr>
        <w:t>696</w:t>
      </w:r>
      <w:r w:rsidR="00D63D33">
        <w:rPr>
          <w:rFonts w:ascii="Times New Roman" w:hAnsi="Times New Roman" w:cs="Times New Roman"/>
          <w:sz w:val="24"/>
          <w:szCs w:val="24"/>
        </w:rPr>
        <w:t xml:space="preserve"> i 1818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F7E7174" w14:textId="4CFBCC70" w:rsidR="0E33FD6D" w:rsidRPr="00352984" w:rsidRDefault="0E33FD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 xml:space="preserve">bezrobotnych w rozumieniu ustawy z dnia 20 kwietnia 2004 r. o promocji zatrudnienia i </w:t>
      </w:r>
      <w:r w:rsidR="0062118E">
        <w:rPr>
          <w:rFonts w:ascii="Times New Roman" w:hAnsi="Times New Roman" w:cs="Times New Roman"/>
          <w:sz w:val="24"/>
          <w:szCs w:val="24"/>
        </w:rPr>
        <w:t> </w:t>
      </w:r>
      <w:r w:rsidRPr="00352984">
        <w:rPr>
          <w:rFonts w:ascii="Times New Roman" w:hAnsi="Times New Roman" w:cs="Times New Roman"/>
          <w:sz w:val="24"/>
          <w:szCs w:val="24"/>
        </w:rPr>
        <w:t>instytucjach rynku pracy (Dz. U. z 2019 r. poz. 1482</w:t>
      </w:r>
      <w:r w:rsidR="00D63D33">
        <w:rPr>
          <w:rFonts w:ascii="Times New Roman" w:hAnsi="Times New Roman" w:cs="Times New Roman"/>
          <w:sz w:val="24"/>
          <w:szCs w:val="24"/>
        </w:rPr>
        <w:t>,</w:t>
      </w:r>
      <w:r w:rsidRPr="00352984">
        <w:rPr>
          <w:rFonts w:ascii="Times New Roman" w:hAnsi="Times New Roman" w:cs="Times New Roman"/>
          <w:sz w:val="24"/>
          <w:szCs w:val="24"/>
        </w:rPr>
        <w:t xml:space="preserve"> 1622</w:t>
      </w:r>
      <w:r w:rsidR="00D63D33">
        <w:rPr>
          <w:rFonts w:ascii="Times New Roman" w:hAnsi="Times New Roman" w:cs="Times New Roman"/>
          <w:sz w:val="24"/>
          <w:szCs w:val="24"/>
        </w:rPr>
        <w:t xml:space="preserve"> i 1818</w:t>
      </w:r>
      <w:r w:rsidRPr="0035298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B29B52E" w14:textId="2DF0F0E7" w:rsidR="0E33FD6D" w:rsidRPr="00352984" w:rsidRDefault="0E33FD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lastRenderedPageBreak/>
        <w:t>os</w:t>
      </w:r>
      <w:r w:rsidR="006C736D">
        <w:rPr>
          <w:rFonts w:ascii="Times New Roman" w:hAnsi="Times New Roman" w:cs="Times New Roman"/>
          <w:sz w:val="24"/>
          <w:szCs w:val="24"/>
        </w:rPr>
        <w:t>oby poszukujące</w:t>
      </w:r>
      <w:r w:rsidRPr="00352984">
        <w:rPr>
          <w:rFonts w:ascii="Times New Roman" w:hAnsi="Times New Roman" w:cs="Times New Roman"/>
          <w:sz w:val="24"/>
          <w:szCs w:val="24"/>
        </w:rPr>
        <w:t xml:space="preserve"> pracy, niepozostając</w:t>
      </w:r>
      <w:r w:rsidR="00E77CFA">
        <w:rPr>
          <w:rFonts w:ascii="Times New Roman" w:hAnsi="Times New Roman" w:cs="Times New Roman"/>
          <w:sz w:val="24"/>
          <w:szCs w:val="24"/>
        </w:rPr>
        <w:t>e</w:t>
      </w:r>
      <w:r w:rsidRPr="00352984">
        <w:rPr>
          <w:rFonts w:ascii="Times New Roman" w:hAnsi="Times New Roman" w:cs="Times New Roman"/>
          <w:sz w:val="24"/>
          <w:szCs w:val="24"/>
        </w:rPr>
        <w:t xml:space="preserve"> w zatrudnieniu lub niewykonując</w:t>
      </w:r>
      <w:r w:rsidR="00E77CFA">
        <w:rPr>
          <w:rFonts w:ascii="Times New Roman" w:hAnsi="Times New Roman" w:cs="Times New Roman"/>
          <w:sz w:val="24"/>
          <w:szCs w:val="24"/>
        </w:rPr>
        <w:t>e</w:t>
      </w:r>
      <w:r w:rsidRPr="00352984">
        <w:rPr>
          <w:rFonts w:ascii="Times New Roman" w:hAnsi="Times New Roman" w:cs="Times New Roman"/>
          <w:sz w:val="24"/>
          <w:szCs w:val="24"/>
        </w:rPr>
        <w:t xml:space="preserve"> innej pracy zarobkowej, w rozumieniu ustawy z dnia 20 kwietnia 2004 r. o promocji zatrudnienia i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Pr="00352984">
        <w:rPr>
          <w:rFonts w:ascii="Times New Roman" w:hAnsi="Times New Roman" w:cs="Times New Roman"/>
          <w:sz w:val="24"/>
          <w:szCs w:val="24"/>
        </w:rPr>
        <w:t xml:space="preserve">instytucjach rynku pracy, </w:t>
      </w:r>
    </w:p>
    <w:p w14:paraId="2A983AD0" w14:textId="1761530C" w:rsidR="0E33FD6D" w:rsidRPr="00352984" w:rsidRDefault="006C73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usamodzielnian</w:t>
      </w:r>
      <w:r>
        <w:rPr>
          <w:rFonts w:ascii="Times New Roman" w:hAnsi="Times New Roman" w:cs="Times New Roman"/>
          <w:sz w:val="24"/>
          <w:szCs w:val="24"/>
        </w:rPr>
        <w:t>e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, o których mowa w art. 140 ust. 1 i 2 ustawy z dnia 9 czerwca 2011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r.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o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>wspieraniu rodziny i systemie pieczy zastępczej (Dz. U. z 2019 r. poz. 1111</w:t>
      </w:r>
      <w:r w:rsidR="00311B28">
        <w:rPr>
          <w:rFonts w:ascii="Times New Roman" w:hAnsi="Times New Roman" w:cs="Times New Roman"/>
          <w:sz w:val="24"/>
          <w:szCs w:val="24"/>
        </w:rPr>
        <w:t>,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924</w:t>
      </w:r>
      <w:r w:rsidR="00311B28">
        <w:rPr>
          <w:rFonts w:ascii="Times New Roman" w:hAnsi="Times New Roman" w:cs="Times New Roman"/>
          <w:sz w:val="24"/>
          <w:szCs w:val="24"/>
        </w:rPr>
        <w:t xml:space="preserve"> i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0311B28">
        <w:rPr>
          <w:rFonts w:ascii="Times New Roman" w:hAnsi="Times New Roman" w:cs="Times New Roman"/>
          <w:sz w:val="24"/>
          <w:szCs w:val="24"/>
        </w:rPr>
        <w:t>1818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90D222C" w14:textId="3C940808" w:rsidR="0E33FD6D" w:rsidRPr="00352984" w:rsidRDefault="006C73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pozbawione </w:t>
      </w:r>
      <w:r w:rsidR="0E33FD6D" w:rsidRPr="00352984">
        <w:rPr>
          <w:rFonts w:ascii="Times New Roman" w:hAnsi="Times New Roman" w:cs="Times New Roman"/>
          <w:sz w:val="24"/>
          <w:szCs w:val="24"/>
        </w:rPr>
        <w:t>wolności lub zwalnian</w:t>
      </w:r>
      <w:r>
        <w:rPr>
          <w:rFonts w:ascii="Times New Roman" w:hAnsi="Times New Roman" w:cs="Times New Roman"/>
          <w:sz w:val="24"/>
          <w:szCs w:val="24"/>
        </w:rPr>
        <w:t>e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z zakładów karnych, o których mowa w ustawie z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>dnia 6 czerwca 1997 r. – Kodeks karny wykonawczy (Dz. U. z 2019 r. poz. 676, 679 i 1694), mając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trudności w integracji ze środowiskiem, </w:t>
      </w:r>
    </w:p>
    <w:p w14:paraId="6E6D623A" w14:textId="309591D5" w:rsidR="0E33FD6D" w:rsidRPr="00352984" w:rsidRDefault="0E33FD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os</w:t>
      </w:r>
      <w:r w:rsidR="006C736D">
        <w:rPr>
          <w:rFonts w:ascii="Times New Roman" w:hAnsi="Times New Roman" w:cs="Times New Roman"/>
          <w:sz w:val="24"/>
          <w:szCs w:val="24"/>
        </w:rPr>
        <w:t>oby</w:t>
      </w:r>
      <w:r w:rsidRPr="00352984">
        <w:rPr>
          <w:rFonts w:ascii="Times New Roman" w:hAnsi="Times New Roman" w:cs="Times New Roman"/>
          <w:sz w:val="24"/>
          <w:szCs w:val="24"/>
        </w:rPr>
        <w:t xml:space="preserve"> z zaburzeniami psychicznymi w rozumieniu ustawy z dnia 19 sierpnia 1994 r. o ochronie zdrowia psychicznego (Dz. U. z 2018 r. poz. 1878 oraz z 2019 r. poz. 730 i 1690),</w:t>
      </w:r>
    </w:p>
    <w:p w14:paraId="1D3A3B14" w14:textId="43E2332F" w:rsidR="0E33FD6D" w:rsidRPr="00352984" w:rsidRDefault="006C73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bezdomn</w:t>
      </w:r>
      <w:r>
        <w:rPr>
          <w:rFonts w:ascii="Times New Roman" w:hAnsi="Times New Roman" w:cs="Times New Roman"/>
          <w:sz w:val="24"/>
          <w:szCs w:val="24"/>
        </w:rPr>
        <w:t>e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w rozumieniu ustawy z dnia 12 marca 2004 r. o pomocy społecznej (Dz.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>U.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z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>2019 r. poz. 1507, 1622</w:t>
      </w:r>
      <w:r w:rsidR="00FC59BF">
        <w:rPr>
          <w:rFonts w:ascii="Times New Roman" w:hAnsi="Times New Roman" w:cs="Times New Roman"/>
          <w:sz w:val="24"/>
          <w:szCs w:val="24"/>
        </w:rPr>
        <w:t>,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1690</w:t>
      </w:r>
      <w:r w:rsidR="00FC59BF">
        <w:rPr>
          <w:rFonts w:ascii="Times New Roman" w:hAnsi="Times New Roman" w:cs="Times New Roman"/>
          <w:sz w:val="24"/>
          <w:szCs w:val="24"/>
        </w:rPr>
        <w:t xml:space="preserve"> i 1818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DC03A3F" w14:textId="57D26492" w:rsidR="0E33FD6D" w:rsidRPr="00352984" w:rsidRDefault="006C73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, które uzyskały w Rzeczypospolitej Polskiej status uchodźcy lub ochronę uzupełniającą, o których mowa w ustawie z dnia 13 czerwca 2003 r. o udzielaniu cudzoziemcom ochrony na terytorium Rzeczypospolitej Polskiej (Dz. U. z 2019 r. poz. 1666), </w:t>
      </w:r>
    </w:p>
    <w:p w14:paraId="14DD4D80" w14:textId="74045FE9" w:rsidR="0E33FD6D" w:rsidRPr="00352984" w:rsidRDefault="006C73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do 30. roku życia oraz po ukończeniu 50. roku życia, posiadając</w:t>
      </w:r>
      <w:r>
        <w:rPr>
          <w:rFonts w:ascii="Times New Roman" w:hAnsi="Times New Roman" w:cs="Times New Roman"/>
          <w:sz w:val="24"/>
          <w:szCs w:val="24"/>
        </w:rPr>
        <w:t>e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status osoby poszukującej pracy, bez zatrudnienia, </w:t>
      </w:r>
    </w:p>
    <w:p w14:paraId="0EF984AF" w14:textId="4227CA7E" w:rsidR="00D761A2" w:rsidRPr="00352984" w:rsidRDefault="006C736D" w:rsidP="00D761A2">
      <w:pPr>
        <w:pStyle w:val="Akapitzlist"/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będące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członkami mniejszości znajdującej się w niekorzystnej sytuacji, w szczególności będąc</w:t>
      </w:r>
      <w:r w:rsidR="00FC59BF">
        <w:rPr>
          <w:rFonts w:ascii="Times New Roman" w:hAnsi="Times New Roman" w:cs="Times New Roman"/>
          <w:sz w:val="24"/>
          <w:szCs w:val="24"/>
        </w:rPr>
        <w:t>e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członkami mniejszości narodowych i etnicznych w rozumieniu ustawy z dnia 6 stycznia 2005 r. o mniejszościach narodowych i etnicznych oraz o języku regionalnym (Dz. U. z 2017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r. poz. 823) </w:t>
      </w:r>
    </w:p>
    <w:p w14:paraId="1B8ED003" w14:textId="18B9422D" w:rsidR="00D500F8" w:rsidRPr="00352984" w:rsidRDefault="00D500F8" w:rsidP="00D500F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 xml:space="preserve">- 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pod warunkiem, że procentowy wskaźnik zatrudnienia osób należących do jednej lub więcej kategorii, o których mowa w </w:t>
      </w:r>
      <w:r w:rsidR="00FC59BF">
        <w:rPr>
          <w:rFonts w:ascii="Times New Roman" w:hAnsi="Times New Roman" w:cs="Times New Roman"/>
          <w:sz w:val="24"/>
          <w:szCs w:val="24"/>
        </w:rPr>
        <w:t>lit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</w:t>
      </w:r>
      <w:r w:rsidR="2B312A0D" w:rsidRPr="00352984">
        <w:rPr>
          <w:rFonts w:ascii="Times New Roman" w:hAnsi="Times New Roman" w:cs="Times New Roman"/>
          <w:sz w:val="24"/>
          <w:szCs w:val="24"/>
        </w:rPr>
        <w:t>a-j</w:t>
      </w:r>
      <w:r w:rsidR="0E33FD6D" w:rsidRPr="00352984">
        <w:rPr>
          <w:rFonts w:ascii="Times New Roman" w:hAnsi="Times New Roman" w:cs="Times New Roman"/>
          <w:sz w:val="24"/>
          <w:szCs w:val="24"/>
        </w:rPr>
        <w:t xml:space="preserve"> jest nie mniejszy niż 30% osób zatrudnionych u wykonawcy albo w jego jednostce, która będzie realizowała zamówienie.</w:t>
      </w:r>
    </w:p>
    <w:p w14:paraId="132C1A44" w14:textId="3D50CE13" w:rsidR="002C699D" w:rsidRPr="00352984" w:rsidRDefault="00D500F8" w:rsidP="00D500F8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3)</w:t>
      </w:r>
      <w:r w:rsidRPr="00352984">
        <w:rPr>
          <w:rFonts w:ascii="Times New Roman" w:hAnsi="Times New Roman" w:cs="Times New Roman"/>
          <w:sz w:val="24"/>
          <w:szCs w:val="24"/>
        </w:rPr>
        <w:tab/>
      </w:r>
      <w:r w:rsidR="002C699D" w:rsidRPr="00352984">
        <w:rPr>
          <w:rFonts w:ascii="Times New Roman" w:hAnsi="Times New Roman" w:cs="Times New Roman"/>
          <w:sz w:val="24"/>
          <w:szCs w:val="24"/>
        </w:rPr>
        <w:t>Zamawiający może również zastrzec, że o udzielenie zamówienia</w:t>
      </w:r>
      <w:r w:rsidR="000716F3" w:rsidRPr="00352984">
        <w:rPr>
          <w:rFonts w:ascii="Times New Roman" w:hAnsi="Times New Roman" w:cs="Times New Roman"/>
          <w:sz w:val="24"/>
          <w:szCs w:val="24"/>
        </w:rPr>
        <w:t xml:space="preserve"> na usługi zdrowotne, społeczne oraz kulturalne</w:t>
      </w:r>
      <w:r w:rsidR="00BA4D8C" w:rsidRPr="00BA4D8C">
        <w:t xml:space="preserve"> </w:t>
      </w:r>
      <w:r w:rsidR="00BA4D8C">
        <w:t>(</w:t>
      </w:r>
      <w:r w:rsidR="00BA4D8C" w:rsidRPr="00BA4D8C">
        <w:rPr>
          <w:rFonts w:ascii="Times New Roman" w:hAnsi="Times New Roman" w:cs="Times New Roman"/>
          <w:sz w:val="24"/>
          <w:szCs w:val="24"/>
        </w:rPr>
        <w:t>objęte kodami CPV 75121000-0, 75122000-7, 75123000-4, 79622000-0, 79624000-4, 79625000-1, 80110000-8, 80300000-7, 80420000-4, 80430000-7, 80511000-9, 80520000-5, 80590000-6, od 85000000-9 do 85323000-9, 92500000-6, 92600000-7, 98133000-4, 98133110-8, określonymi we Wspólnym Słowniku Zamówień</w:t>
      </w:r>
      <w:r w:rsidR="00BA4D8C">
        <w:rPr>
          <w:rFonts w:ascii="Times New Roman" w:hAnsi="Times New Roman" w:cs="Times New Roman"/>
          <w:sz w:val="24"/>
          <w:szCs w:val="24"/>
        </w:rPr>
        <w:t>)</w:t>
      </w:r>
      <w:r w:rsidR="002C699D" w:rsidRPr="00352984">
        <w:rPr>
          <w:rFonts w:ascii="Times New Roman" w:hAnsi="Times New Roman" w:cs="Times New Roman"/>
          <w:sz w:val="24"/>
          <w:szCs w:val="24"/>
        </w:rPr>
        <w:t xml:space="preserve"> mogą ubiegać się wyłącznie wykonawcy, którzy spełniają łącznie następujące warunki:</w:t>
      </w:r>
    </w:p>
    <w:p w14:paraId="300D35B2" w14:textId="566342F5" w:rsidR="002C699D" w:rsidRPr="00352984" w:rsidRDefault="78D53F81" w:rsidP="00D500F8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 xml:space="preserve"> celem ich działalności jest realizacja zadań w zakresie użyteczności publicznej związanej ze świadczeniem tych usług oraz społeczna i zawodowa integracja osób, o których mowa w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Pr="00352984">
        <w:rPr>
          <w:rFonts w:ascii="Times New Roman" w:hAnsi="Times New Roman" w:cs="Times New Roman"/>
          <w:sz w:val="24"/>
          <w:szCs w:val="24"/>
        </w:rPr>
        <w:t xml:space="preserve">art.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Pr="00352984">
        <w:rPr>
          <w:rFonts w:ascii="Times New Roman" w:hAnsi="Times New Roman" w:cs="Times New Roman"/>
          <w:sz w:val="24"/>
          <w:szCs w:val="24"/>
        </w:rPr>
        <w:t>94</w:t>
      </w:r>
      <w:r w:rsidR="545E9B0D" w:rsidRPr="0035298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545E9B0D" w:rsidRPr="0035298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2649B">
        <w:rPr>
          <w:rFonts w:ascii="Times New Roman" w:hAnsi="Times New Roman" w:cs="Times New Roman"/>
          <w:sz w:val="24"/>
          <w:szCs w:val="24"/>
        </w:rPr>
        <w:t>,</w:t>
      </w:r>
    </w:p>
    <w:p w14:paraId="2E9EB92E" w14:textId="73808079" w:rsidR="78D53F81" w:rsidRPr="00352984" w:rsidRDefault="78D53F81" w:rsidP="00D500F8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nie działają w celu osiągnięcia zysku, przeznaczają całość dochodu na realizację celów statutowych oraz nie przeznaczają zysku do podziału między swoich udziałowc</w:t>
      </w:r>
      <w:r w:rsidR="0042649B">
        <w:rPr>
          <w:rFonts w:ascii="Times New Roman" w:hAnsi="Times New Roman" w:cs="Times New Roman"/>
          <w:sz w:val="24"/>
          <w:szCs w:val="24"/>
        </w:rPr>
        <w:t>ów, akcjonariuszy i pracowników,</w:t>
      </w:r>
      <w:r w:rsidRPr="00352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4ECAB" w14:textId="34704D06" w:rsidR="78D53F81" w:rsidRPr="00352984" w:rsidRDefault="78D53F81" w:rsidP="00D500F8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 xml:space="preserve">struktura zarządzania nimi lub ich struktura własnościowa opiera się na współzarządzaniu w </w:t>
      </w:r>
      <w:r w:rsidR="00482EC8">
        <w:rPr>
          <w:rFonts w:ascii="Times New Roman" w:hAnsi="Times New Roman" w:cs="Times New Roman"/>
          <w:sz w:val="24"/>
          <w:szCs w:val="24"/>
        </w:rPr>
        <w:t> </w:t>
      </w:r>
      <w:r w:rsidRPr="00352984">
        <w:rPr>
          <w:rFonts w:ascii="Times New Roman" w:hAnsi="Times New Roman" w:cs="Times New Roman"/>
          <w:sz w:val="24"/>
          <w:szCs w:val="24"/>
        </w:rPr>
        <w:t>przypadku spółdzielni, akcjonariacie pracowniczym lub zasadach partycypacji</w:t>
      </w:r>
      <w:r w:rsidR="00495903">
        <w:rPr>
          <w:rFonts w:ascii="Times New Roman" w:hAnsi="Times New Roman" w:cs="Times New Roman"/>
          <w:sz w:val="24"/>
          <w:szCs w:val="24"/>
        </w:rPr>
        <w:t xml:space="preserve"> </w:t>
      </w:r>
      <w:r w:rsidRPr="00352984">
        <w:rPr>
          <w:rFonts w:ascii="Times New Roman" w:hAnsi="Times New Roman" w:cs="Times New Roman"/>
          <w:sz w:val="24"/>
          <w:szCs w:val="24"/>
        </w:rPr>
        <w:t>pracowników, co wykonawca określa w swoim statu</w:t>
      </w:r>
      <w:r w:rsidR="0042649B">
        <w:rPr>
          <w:rFonts w:ascii="Times New Roman" w:hAnsi="Times New Roman" w:cs="Times New Roman"/>
          <w:sz w:val="24"/>
          <w:szCs w:val="24"/>
        </w:rPr>
        <w:t>cie,</w:t>
      </w:r>
      <w:r w:rsidRPr="00352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9F74F" w14:textId="5347BF16" w:rsidR="78D53F81" w:rsidRPr="00352984" w:rsidRDefault="78D53F81" w:rsidP="00D500F8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w ciągu ostatnich 3 lat poprzedzających dzień wszczęcia postępowania o udzielenie zamówienia na usługi społeczne i inne szczególne usługi nie udzielono im zamówienia na podstawie t</w:t>
      </w:r>
      <w:r w:rsidR="00A92289">
        <w:rPr>
          <w:rFonts w:ascii="Times New Roman" w:hAnsi="Times New Roman" w:cs="Times New Roman"/>
          <w:sz w:val="24"/>
          <w:szCs w:val="24"/>
        </w:rPr>
        <w:t>ego przepisu przez tego samego Z</w:t>
      </w:r>
      <w:r w:rsidRPr="00352984">
        <w:rPr>
          <w:rFonts w:ascii="Times New Roman" w:hAnsi="Times New Roman" w:cs="Times New Roman"/>
          <w:sz w:val="24"/>
          <w:szCs w:val="24"/>
        </w:rPr>
        <w:t>amawiającego.</w:t>
      </w:r>
    </w:p>
    <w:p w14:paraId="590FE4FB" w14:textId="77777777" w:rsidR="00D761A2" w:rsidRPr="00352984" w:rsidRDefault="00D761A2" w:rsidP="00D500F8">
      <w:pPr>
        <w:spacing w:after="0" w:line="276" w:lineRule="auto"/>
        <w:ind w:left="567" w:hanging="283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</w:p>
    <w:p w14:paraId="1A6E05AB" w14:textId="77777777" w:rsidR="00193A75" w:rsidRDefault="00193A75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</w:p>
    <w:p w14:paraId="5E7D475B" w14:textId="77777777" w:rsidR="00193A75" w:rsidRDefault="00193A75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</w:p>
    <w:p w14:paraId="09994D3F" w14:textId="77777777" w:rsidR="00193A75" w:rsidRDefault="00193A75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</w:p>
    <w:p w14:paraId="3AC543FF" w14:textId="07274BF3" w:rsidR="002C699D" w:rsidRPr="00352984" w:rsidRDefault="007F6B22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lastRenderedPageBreak/>
        <w:t>Ad. 2)</w:t>
      </w:r>
    </w:p>
    <w:p w14:paraId="5E3E89D5" w14:textId="77777777" w:rsidR="007F6B22" w:rsidRPr="00352984" w:rsidRDefault="007F6B22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Dodatkowe wymagania związane z realizacją zamówienia:</w:t>
      </w:r>
    </w:p>
    <w:p w14:paraId="314E0676" w14:textId="5FC2F2AD" w:rsidR="002C699D" w:rsidRPr="00352984" w:rsidRDefault="002C699D" w:rsidP="00D761A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Art. </w:t>
      </w:r>
      <w:r w:rsidR="00D500F8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96</w:t>
      </w: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ustawy Pzp, przewiduje, że </w:t>
      </w:r>
      <w:r w:rsidRPr="00352984">
        <w:rPr>
          <w:rFonts w:ascii="Times New Roman" w:hAnsi="Times New Roman" w:cs="Times New Roman"/>
          <w:sz w:val="24"/>
          <w:szCs w:val="24"/>
        </w:rPr>
        <w:t xml:space="preserve">Zamawiający może określić </w:t>
      </w:r>
      <w:r w:rsidRPr="00352984">
        <w:rPr>
          <w:rFonts w:ascii="Times New Roman" w:hAnsi="Times New Roman" w:cs="Times New Roman"/>
          <w:b/>
          <w:bCs/>
          <w:sz w:val="24"/>
          <w:szCs w:val="24"/>
        </w:rPr>
        <w:t>w o</w:t>
      </w:r>
      <w:r w:rsidR="00767CE0">
        <w:rPr>
          <w:rFonts w:ascii="Times New Roman" w:hAnsi="Times New Roman" w:cs="Times New Roman"/>
          <w:b/>
          <w:bCs/>
          <w:sz w:val="24"/>
          <w:szCs w:val="24"/>
        </w:rPr>
        <w:t>głoszeniu o</w:t>
      </w:r>
      <w:r w:rsidRPr="00352984">
        <w:rPr>
          <w:rFonts w:ascii="Times New Roman" w:hAnsi="Times New Roman" w:cs="Times New Roman"/>
          <w:b/>
          <w:bCs/>
          <w:sz w:val="24"/>
          <w:szCs w:val="24"/>
        </w:rPr>
        <w:t xml:space="preserve"> zamówieni</w:t>
      </w:r>
      <w:r w:rsidR="00F12DA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67CE0">
        <w:rPr>
          <w:rFonts w:ascii="Times New Roman" w:hAnsi="Times New Roman" w:cs="Times New Roman"/>
          <w:b/>
          <w:bCs/>
          <w:sz w:val="24"/>
          <w:szCs w:val="24"/>
        </w:rPr>
        <w:t xml:space="preserve"> lub dokumentach zamówienia</w:t>
      </w:r>
      <w:r w:rsidRPr="00352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2984">
        <w:rPr>
          <w:rFonts w:ascii="Times New Roman" w:hAnsi="Times New Roman" w:cs="Times New Roman"/>
          <w:sz w:val="24"/>
          <w:szCs w:val="24"/>
        </w:rPr>
        <w:t>wymagania związane z realizacją zamówienia, które mogą obejmować aspekty gospodarcze, środowiskowe, społeczne, związane z innowacyjnością</w:t>
      </w:r>
      <w:r w:rsidR="006C736D">
        <w:rPr>
          <w:rFonts w:ascii="Times New Roman" w:hAnsi="Times New Roman" w:cs="Times New Roman"/>
          <w:sz w:val="24"/>
          <w:szCs w:val="24"/>
        </w:rPr>
        <w:t>, zatrudnieniem</w:t>
      </w:r>
      <w:r w:rsidRPr="00352984">
        <w:rPr>
          <w:rFonts w:ascii="Times New Roman" w:hAnsi="Times New Roman" w:cs="Times New Roman"/>
          <w:sz w:val="24"/>
          <w:szCs w:val="24"/>
        </w:rPr>
        <w:t xml:space="preserve"> lub</w:t>
      </w:r>
      <w:r w:rsidR="77B40162" w:rsidRPr="00352984">
        <w:rPr>
          <w:rFonts w:ascii="Times New Roman" w:eastAsia="Calibri" w:hAnsi="Times New Roman" w:cs="Times New Roman"/>
          <w:sz w:val="24"/>
          <w:szCs w:val="24"/>
        </w:rPr>
        <w:t xml:space="preserve"> zachowaniem poufnego charakteru informacji przekazanych wykonawcy w toku realizacji zamówienia</w:t>
      </w:r>
      <w:r w:rsidRPr="00352984">
        <w:rPr>
          <w:rFonts w:ascii="Times New Roman" w:hAnsi="Times New Roman" w:cs="Times New Roman"/>
          <w:sz w:val="24"/>
          <w:szCs w:val="24"/>
        </w:rPr>
        <w:t>, w szczególności:</w:t>
      </w:r>
    </w:p>
    <w:p w14:paraId="37D5F4A8" w14:textId="5D6849A0" w:rsidR="34E1B9A6" w:rsidRPr="00352984" w:rsidRDefault="34E1B9A6" w:rsidP="00D500F8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eastAsia="Calibri" w:hAnsi="Times New Roman" w:cs="Times New Roman"/>
          <w:sz w:val="24"/>
          <w:szCs w:val="24"/>
        </w:rPr>
        <w:t>zastosowania określonych śro</w:t>
      </w:r>
      <w:r w:rsidR="0042649B">
        <w:rPr>
          <w:rFonts w:ascii="Times New Roman" w:eastAsia="Calibri" w:hAnsi="Times New Roman" w:cs="Times New Roman"/>
          <w:sz w:val="24"/>
          <w:szCs w:val="24"/>
        </w:rPr>
        <w:t>dków zarządzania środowiskowego,</w:t>
      </w:r>
    </w:p>
    <w:p w14:paraId="4BBD706B" w14:textId="4F5AB05E" w:rsidR="2E25EC97" w:rsidRPr="00352984" w:rsidRDefault="2E25EC97" w:rsidP="00D500F8">
      <w:pPr>
        <w:numPr>
          <w:ilvl w:val="1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eastAsia="Calibri" w:hAnsi="Times New Roman" w:cs="Times New Roman"/>
          <w:sz w:val="24"/>
          <w:szCs w:val="24"/>
        </w:rPr>
        <w:t>zatrudnienia:</w:t>
      </w:r>
    </w:p>
    <w:p w14:paraId="2A0AF854" w14:textId="6F90E1A0" w:rsidR="2E25EC97" w:rsidRPr="00352984" w:rsidRDefault="2E25EC97" w:rsidP="00D500F8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 xml:space="preserve"> </w:t>
      </w:r>
      <w:r w:rsidR="002C699D" w:rsidRPr="00352984">
        <w:rPr>
          <w:rFonts w:ascii="Times New Roman" w:hAnsi="Times New Roman" w:cs="Times New Roman"/>
          <w:sz w:val="24"/>
          <w:szCs w:val="24"/>
        </w:rPr>
        <w:t xml:space="preserve">bezrobotnych w rozumieniu ustawy z dnia 20 kwietnia 2004 r. o promocji zatrudnienia </w:t>
      </w:r>
      <w:r w:rsidR="0042649B">
        <w:rPr>
          <w:rFonts w:ascii="Times New Roman" w:hAnsi="Times New Roman" w:cs="Times New Roman"/>
          <w:sz w:val="24"/>
          <w:szCs w:val="24"/>
        </w:rPr>
        <w:t>i instytucjach rynku pracy,</w:t>
      </w:r>
    </w:p>
    <w:p w14:paraId="1BB4E4BC" w14:textId="68465479" w:rsidR="67BAA5F5" w:rsidRPr="00352984" w:rsidRDefault="67BAA5F5" w:rsidP="00D500F8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2984">
        <w:rPr>
          <w:rFonts w:ascii="Times New Roman" w:eastAsia="Calibri" w:hAnsi="Times New Roman" w:cs="Times New Roman"/>
          <w:sz w:val="24"/>
          <w:szCs w:val="24"/>
        </w:rPr>
        <w:t xml:space="preserve">osób poszukujących pracy, niepozostających w zatrudnieniu lub niewykonujących innej pracy zarobkowej, w rozumieniu ustawy z dnia 20 kwietnia 2004 r. o promocji zatrudnienia i </w:t>
      </w:r>
      <w:r w:rsidR="00482EC8">
        <w:rPr>
          <w:rFonts w:ascii="Times New Roman" w:eastAsia="Calibri" w:hAnsi="Times New Roman" w:cs="Times New Roman"/>
          <w:sz w:val="24"/>
          <w:szCs w:val="24"/>
        </w:rPr>
        <w:t> </w:t>
      </w:r>
      <w:r w:rsidRPr="00352984">
        <w:rPr>
          <w:rFonts w:ascii="Times New Roman" w:eastAsia="Calibri" w:hAnsi="Times New Roman" w:cs="Times New Roman"/>
          <w:sz w:val="24"/>
          <w:szCs w:val="24"/>
        </w:rPr>
        <w:t>ins</w:t>
      </w:r>
      <w:r w:rsidR="0042649B">
        <w:rPr>
          <w:rFonts w:ascii="Times New Roman" w:eastAsia="Calibri" w:hAnsi="Times New Roman" w:cs="Times New Roman"/>
          <w:sz w:val="24"/>
          <w:szCs w:val="24"/>
        </w:rPr>
        <w:t>tytucjach rynku pracy,</w:t>
      </w:r>
    </w:p>
    <w:p w14:paraId="149B25D6" w14:textId="6D2392E6" w:rsidR="67BAA5F5" w:rsidRPr="00352984" w:rsidRDefault="67BAA5F5" w:rsidP="00D500F8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osób usamodzielnianych, o których mowa w art. 140 ust. 1 i 2 ustawy z dnia 9 czerwca 2011 r. o wspieraniu rodzi</w:t>
      </w:r>
      <w:r w:rsidR="0042649B">
        <w:rPr>
          <w:rFonts w:ascii="Times New Roman" w:hAnsi="Times New Roman" w:cs="Times New Roman"/>
          <w:sz w:val="24"/>
          <w:szCs w:val="24"/>
        </w:rPr>
        <w:t>ny i systemie pieczy zastępczej,</w:t>
      </w:r>
    </w:p>
    <w:p w14:paraId="273A803D" w14:textId="7D3FF036" w:rsidR="002C699D" w:rsidRPr="00352984" w:rsidRDefault="002C699D" w:rsidP="00D500F8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 xml:space="preserve">młodocianych, o których mowa w przepisach prawa pracy, </w:t>
      </w:r>
      <w:r w:rsidR="0042649B">
        <w:rPr>
          <w:rFonts w:ascii="Times New Roman" w:hAnsi="Times New Roman" w:cs="Times New Roman"/>
          <w:sz w:val="24"/>
          <w:szCs w:val="24"/>
        </w:rPr>
        <w:t>w celu przygotowania zawodowego,</w:t>
      </w:r>
    </w:p>
    <w:p w14:paraId="394DE5A4" w14:textId="6EE1FC61" w:rsidR="002C699D" w:rsidRPr="00352984" w:rsidRDefault="002C699D" w:rsidP="00D500F8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osób niepełnosprawnych w rozumieniu ustawy z dnia 27 sierpnia 1997 r. o rehabilitacji zawodowej i</w:t>
      </w:r>
      <w:r w:rsidR="00392E06" w:rsidRPr="00352984">
        <w:rPr>
          <w:rFonts w:ascii="Times New Roman" w:hAnsi="Times New Roman" w:cs="Times New Roman"/>
          <w:sz w:val="24"/>
          <w:szCs w:val="24"/>
        </w:rPr>
        <w:t> </w:t>
      </w:r>
      <w:r w:rsidRPr="00352984">
        <w:rPr>
          <w:rFonts w:ascii="Times New Roman" w:hAnsi="Times New Roman" w:cs="Times New Roman"/>
          <w:sz w:val="24"/>
          <w:szCs w:val="24"/>
        </w:rPr>
        <w:t>społecznej oraz zatr</w:t>
      </w:r>
      <w:r w:rsidR="0042649B">
        <w:rPr>
          <w:rFonts w:ascii="Times New Roman" w:hAnsi="Times New Roman" w:cs="Times New Roman"/>
          <w:sz w:val="24"/>
          <w:szCs w:val="24"/>
        </w:rPr>
        <w:t>udnianiu osób niepełnosprawnych,</w:t>
      </w:r>
    </w:p>
    <w:p w14:paraId="1AEA63DC" w14:textId="119FFC74" w:rsidR="002C699D" w:rsidRPr="00352984" w:rsidRDefault="002C699D" w:rsidP="00D500F8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innych osób niż określone w lit. a-</w:t>
      </w:r>
      <w:r w:rsidR="5EAC130E" w:rsidRPr="00352984">
        <w:rPr>
          <w:rFonts w:ascii="Times New Roman" w:hAnsi="Times New Roman" w:cs="Times New Roman"/>
          <w:sz w:val="24"/>
          <w:szCs w:val="24"/>
        </w:rPr>
        <w:t>e</w:t>
      </w:r>
      <w:r w:rsidRPr="00352984">
        <w:rPr>
          <w:rFonts w:ascii="Times New Roman" w:hAnsi="Times New Roman" w:cs="Times New Roman"/>
          <w:sz w:val="24"/>
          <w:szCs w:val="24"/>
        </w:rPr>
        <w:t xml:space="preserve"> powyżej, o których mowa w ustawie z dnia 13 czerwca 2003 r. o</w:t>
      </w:r>
      <w:r w:rsidR="00392E06" w:rsidRPr="00352984">
        <w:rPr>
          <w:rFonts w:ascii="Times New Roman" w:hAnsi="Times New Roman" w:cs="Times New Roman"/>
          <w:sz w:val="24"/>
          <w:szCs w:val="24"/>
        </w:rPr>
        <w:t> </w:t>
      </w:r>
      <w:r w:rsidRPr="00352984">
        <w:rPr>
          <w:rFonts w:ascii="Times New Roman" w:hAnsi="Times New Roman" w:cs="Times New Roman"/>
          <w:sz w:val="24"/>
          <w:szCs w:val="24"/>
        </w:rPr>
        <w:t>zatrudnieniu socjalnym</w:t>
      </w:r>
      <w:r w:rsidR="006C736D">
        <w:rPr>
          <w:rFonts w:ascii="Times New Roman" w:hAnsi="Times New Roman" w:cs="Times New Roman"/>
          <w:sz w:val="24"/>
          <w:szCs w:val="24"/>
        </w:rPr>
        <w:t xml:space="preserve"> </w:t>
      </w:r>
      <w:r w:rsidR="0042649B">
        <w:rPr>
          <w:rFonts w:ascii="Times New Roman" w:hAnsi="Times New Roman" w:cs="Times New Roman"/>
          <w:sz w:val="24"/>
          <w:szCs w:val="24"/>
        </w:rPr>
        <w:t xml:space="preserve">(Dz. U. z 2019 r. poz. 217, 730 i 1818) </w:t>
      </w:r>
      <w:r w:rsidRPr="00352984">
        <w:rPr>
          <w:rFonts w:ascii="Times New Roman" w:hAnsi="Times New Roman" w:cs="Times New Roman"/>
          <w:sz w:val="24"/>
          <w:szCs w:val="24"/>
        </w:rPr>
        <w:t>lub we właściwych przepisach państw członkowskich Unii Europejskiej lub Europejskiego Obszaru</w:t>
      </w:r>
      <w:r w:rsidR="00F4587B">
        <w:rPr>
          <w:rFonts w:ascii="Times New Roman" w:hAnsi="Times New Roman" w:cs="Times New Roman"/>
          <w:sz w:val="24"/>
          <w:szCs w:val="24"/>
        </w:rPr>
        <w:t xml:space="preserve"> </w:t>
      </w:r>
      <w:r w:rsidRPr="00352984">
        <w:rPr>
          <w:rFonts w:ascii="Times New Roman" w:hAnsi="Times New Roman" w:cs="Times New Roman"/>
          <w:sz w:val="24"/>
          <w:szCs w:val="24"/>
        </w:rPr>
        <w:t>Gospodarczego</w:t>
      </w:r>
      <w:r w:rsidR="0042649B">
        <w:rPr>
          <w:rFonts w:ascii="Times New Roman" w:hAnsi="Times New Roman" w:cs="Times New Roman"/>
          <w:sz w:val="24"/>
          <w:szCs w:val="24"/>
        </w:rPr>
        <w:t>,</w:t>
      </w:r>
    </w:p>
    <w:p w14:paraId="40D107C2" w14:textId="41A72F86" w:rsidR="002C699D" w:rsidRPr="00352984" w:rsidRDefault="0CC2B729" w:rsidP="00D500F8">
      <w:pPr>
        <w:pStyle w:val="Akapitzlist"/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hAnsi="Times New Roman" w:cs="Times New Roman"/>
          <w:sz w:val="24"/>
          <w:szCs w:val="24"/>
        </w:rPr>
        <w:t>osób do 30. roku życia oraz po ukończeniu 50. roku życia, posiadających status osoby poszukującej pracy, bez zatrudnienia.</w:t>
      </w:r>
    </w:p>
    <w:p w14:paraId="4F7ECAE9" w14:textId="6964FA3D" w:rsidR="004E6768" w:rsidRPr="00352984" w:rsidRDefault="007F6B22" w:rsidP="00D76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C699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prócz wymogu zatrudnienia przykładowo wymienionych w tym przepisie grup osób społecznie marginalizowanych, ustawa wyraźnie dopuszcza sformułowanie również innych wymagań o </w:t>
      </w:r>
      <w:r w:rsidR="00482E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699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charakterze społecznym. </w:t>
      </w:r>
    </w:p>
    <w:p w14:paraId="254C4FC0" w14:textId="61E0DE29" w:rsidR="004E6768" w:rsidRPr="00352984" w:rsidRDefault="002C699D" w:rsidP="00D761A2">
      <w:pPr>
        <w:shd w:val="clear" w:color="auto" w:fill="FFFFFF" w:themeFill="background1"/>
        <w:spacing w:before="120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Klauzula obligatoryjna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07D6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587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lauzulą o istotnym znaczeniu z punktu widzenia przeciwdziałania różnym problemom społecznym występującym w Polsce, z tego </w:t>
      </w:r>
      <w:r w:rsidR="007F6B22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też względu obligatoryjną, jest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wprowadzona art. </w:t>
      </w:r>
      <w:r w:rsidR="2E6704D4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95</w:t>
      </w:r>
      <w:r w:rsidR="00D500F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3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2907D6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 w:rsid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Przepis ten nakłada na Z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amawiających obowiązek wymagania od wykonawcy lub podwykonawcy zatrudnienia na podstawie </w:t>
      </w:r>
      <w:r w:rsidR="17AF781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="7CA16F4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 w:rsid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>ób wykonujących wskazane przez Z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czynności </w:t>
      </w:r>
      <w:r w:rsidR="004E6768" w:rsidRPr="00352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realizacji zamówienia</w:t>
      </w:r>
      <w:r w:rsidR="00F45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E6768" w:rsidRPr="00352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usługi lub roboty budowlane,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wykonanie tych czynności polega na wykonyw</w:t>
      </w:r>
      <w:r w:rsidR="00F4587B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pracy w sposób określony w 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 § 1 Kodeksu pracy.</w:t>
      </w:r>
    </w:p>
    <w:p w14:paraId="5DA8A04C" w14:textId="77777777" w:rsidR="002C699D" w:rsidRPr="00352984" w:rsidRDefault="002C699D" w:rsidP="00D761A2">
      <w:pPr>
        <w:shd w:val="clear" w:color="auto" w:fill="FFFFFF" w:themeFill="background1"/>
        <w:spacing w:before="120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Inne instrumenty umożliwiające stosowanie aspektów społecznych:</w:t>
      </w:r>
    </w:p>
    <w:p w14:paraId="199CD192" w14:textId="1AAFE317" w:rsidR="002C699D" w:rsidRPr="00352984" w:rsidRDefault="004E6768" w:rsidP="00D761A2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klauzul społecznych obowiązujące przepisy ustawy Pzp przewidują także inne instrumenty</w:t>
      </w:r>
      <w:r w:rsid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>, dzięki którym Z</w:t>
      </w:r>
      <w:r w:rsidR="002C699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ma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lub w niektórych przypadkach </w:t>
      </w:r>
      <w:r w:rsidR="002C699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zobowiązany</w:t>
      </w:r>
      <w:r w:rsidR="007F6B22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wziąć pod uwagę w 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procesie udzielania zamówienia publicznego aspekty o charakterze społecznym. </w:t>
      </w:r>
    </w:p>
    <w:p w14:paraId="1C3048D6" w14:textId="30A5F10F" w:rsidR="004E6768" w:rsidRPr="00352984" w:rsidRDefault="002C699D" w:rsidP="00D761A2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narzędzi,</w:t>
      </w:r>
      <w:r w:rsid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zastosowanie jest dla Z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</w:t>
      </w:r>
      <w:r w:rsidR="004E6768" w:rsidRPr="003529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obowiązkowe </w:t>
      </w:r>
      <w:r w:rsidR="004E676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ą:</w:t>
      </w:r>
    </w:p>
    <w:p w14:paraId="01365AAF" w14:textId="0AB7A93C" w:rsidR="004E6768" w:rsidRPr="00352984" w:rsidRDefault="004E6768" w:rsidP="00D500F8">
      <w:pPr>
        <w:numPr>
          <w:ilvl w:val="0"/>
          <w:numId w:val="28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obligatoryjne podstawy wykluczenia wykonawcy z udziału w postępowaniu, w tym w szczególności: skazanie za przestępstwa związane z handlem ludźmi, a także podstawy dotyczące niewywiązywania się z obowiązków dotyczących płatności podatków, opłat lub składek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 ubezpieczenie społeczne lub zdrowotne, jeśli zaległości te zostały stwierdzone prawomocnym wyrokiem sądu lub ostateczną decyzją administracyjną,</w:t>
      </w:r>
    </w:p>
    <w:p w14:paraId="5B076EE9" w14:textId="5DA9DA87" w:rsidR="004E6768" w:rsidRPr="00352984" w:rsidRDefault="004E6768" w:rsidP="00D500F8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uwzględnienia w opisie przedmiotu zamówienia wymagań w zakresie dostępności dla osób niepełnosprawnych </w:t>
      </w:r>
      <w:r w:rsidR="00F12DA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projektowania z przeznaczeniem dla wszystkich użytkowników, </w:t>
      </w:r>
      <w:r w:rsidR="00F1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82E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1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zamówień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przeznaczonych do użytku osób fizycznych, </w:t>
      </w:r>
      <w:r w:rsid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pracowników Z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</w:t>
      </w:r>
      <w:r w:rsidR="00587F8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</w:t>
      </w:r>
      <w:r w:rsidR="06473404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 </w:t>
      </w:r>
      <w:r w:rsidR="00587F8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Pzp)</w:t>
      </w:r>
      <w:r w:rsidR="00587F8D" w:rsidRPr="00352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14:paraId="48DFF85A" w14:textId="78833C36" w:rsidR="004E6768" w:rsidRPr="001500EF" w:rsidRDefault="004E6768" w:rsidP="00D500F8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uwzględnienia przy badaniu oferty pod kątem rażąco niskiej ceny lub kosztu,</w:t>
      </w:r>
      <w:r w:rsidR="5E9DB252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F634E8">
        <w:rPr>
          <w:rFonts w:ascii="Times New Roman" w:eastAsia="Times New Roman" w:hAnsi="Times New Roman" w:cs="Times New Roman"/>
          <w:sz w:val="24"/>
          <w:szCs w:val="24"/>
          <w:lang w:eastAsia="pl-PL"/>
        </w:rPr>
        <w:t>ich istotnych części składowych</w:t>
      </w:r>
      <w:r w:rsidR="001500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pracy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wartość przyjęta do ustalenia ceny nie może być niższa od minimalnego wynagrodzenia za pracę albo minimalnej stawki godzinowej, ustalonych na podstawie przepisów ustawy z dnia 10 października 2002 r. o minimalnym wynagrodzeniu za pracę</w:t>
      </w:r>
      <w:r w:rsidR="00D500F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15629ADE" w:rsidRPr="00352984">
        <w:rPr>
          <w:rFonts w:ascii="Times New Roman" w:eastAsia="Calibri" w:hAnsi="Times New Roman" w:cs="Times New Roman"/>
          <w:sz w:val="24"/>
          <w:szCs w:val="24"/>
        </w:rPr>
        <w:t>lub przepisów odrębnych właściwych dla spraw, z którymi związane jest realizowane zamówienie</w:t>
      </w:r>
      <w:r w:rsidR="001500E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54BB682" w14:textId="17036395" w:rsidR="001500EF" w:rsidRPr="001500EF" w:rsidRDefault="001500EF" w:rsidP="00D500F8">
      <w:pPr>
        <w:numPr>
          <w:ilvl w:val="0"/>
          <w:numId w:val="28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</w:t>
      </w:r>
      <w:r w:rsidRPr="001500E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150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przepisami z zakresu prawa pracy i zabezpieczenia społecznego, obowiązującymi w miejscu, w którym realizowane jest zamówienie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0F5F7D" w14:textId="524FA0E1" w:rsidR="004E6768" w:rsidRPr="00352984" w:rsidRDefault="004E6768" w:rsidP="00D761A2">
      <w:pPr>
        <w:shd w:val="clear" w:color="auto" w:fill="FFFFFF" w:themeFill="background1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mogą natomiast, w zależności od potrzeb i możliwości w danym postępowaniu, skorzystać z poniższych instrumentów </w:t>
      </w:r>
      <w:r w:rsidR="00C10001" w:rsidRPr="00352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fakultatywnych</w:t>
      </w:r>
      <w:r w:rsidR="00C10001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pozwalających nadać zamówieniu prospołeczny charakter:</w:t>
      </w:r>
    </w:p>
    <w:p w14:paraId="2CABB73B" w14:textId="58315112" w:rsidR="004E6768" w:rsidRPr="00352984" w:rsidRDefault="004E6768" w:rsidP="00D500F8">
      <w:pPr>
        <w:numPr>
          <w:ilvl w:val="0"/>
          <w:numId w:val="29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przesłanki wykluczenia wykonawców z postępowania przetargowego, odnoszące się do obowiązków wykonawcy w zakresie opłacania składek na ubezpieczenie społeczne </w:t>
      </w:r>
      <w:r w:rsidR="00251C0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 zdrowotne oraz obowiązków wynikających z prawa pracy i przepisów o zabezpieczeniu społecznym</w:t>
      </w:r>
      <w:r w:rsidR="00F30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9BF68A" w14:textId="57E04F73" w:rsidR="004E6768" w:rsidRPr="00352984" w:rsidRDefault="004E6768" w:rsidP="00D500F8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bezpośredniego zastosowania </w:t>
      </w:r>
      <w:r w:rsidR="6DFCCCCA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etykiet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ramach opisu przedmiotu zamówienia, kryteriów oceny ofert lub </w:t>
      </w:r>
      <w:r w:rsidR="7E49667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wymaganiach związanych z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</w:t>
      </w:r>
      <w:r w:rsidR="601CE4CB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 w:rsidR="0042480F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</w:t>
      </w:r>
      <w:r w:rsidR="00482E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589F6CF6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42480F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42480F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2480F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30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D2A4D1" w14:textId="1578B9FC" w:rsidR="0042480F" w:rsidRPr="00352984" w:rsidRDefault="004E6768" w:rsidP="00D500F8">
      <w:pPr>
        <w:numPr>
          <w:ilvl w:val="0"/>
          <w:numId w:val="29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prospołeczne kryteria oceny ofert,</w:t>
      </w:r>
      <w:r w:rsidR="00D500F8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52FC5796" w:rsidRPr="00352984">
        <w:rPr>
          <w:rFonts w:ascii="Times New Roman" w:eastAsia="Calibri" w:hAnsi="Times New Roman" w:cs="Times New Roman"/>
          <w:sz w:val="24"/>
          <w:szCs w:val="24"/>
        </w:rPr>
        <w:t xml:space="preserve">w tym </w:t>
      </w:r>
      <w:r w:rsidR="14453734" w:rsidRPr="00352984">
        <w:rPr>
          <w:rFonts w:ascii="Times New Roman" w:eastAsia="Calibri" w:hAnsi="Times New Roman" w:cs="Times New Roman"/>
          <w:sz w:val="24"/>
          <w:szCs w:val="24"/>
        </w:rPr>
        <w:t xml:space="preserve">odnoszące się do </w:t>
      </w:r>
      <w:r w:rsidR="52FC5796" w:rsidRPr="00352984">
        <w:rPr>
          <w:rFonts w:ascii="Times New Roman" w:eastAsia="Calibri" w:hAnsi="Times New Roman" w:cs="Times New Roman"/>
          <w:sz w:val="24"/>
          <w:szCs w:val="24"/>
        </w:rPr>
        <w:t>integracji zawodowej i społecznej osób, o których mowa w art. 94 ust. 1</w:t>
      </w:r>
      <w:r w:rsidR="0E62D2F2" w:rsidRPr="00352984">
        <w:rPr>
          <w:rFonts w:ascii="Times New Roman" w:eastAsia="Calibri" w:hAnsi="Times New Roman" w:cs="Times New Roman"/>
          <w:sz w:val="24"/>
          <w:szCs w:val="24"/>
        </w:rPr>
        <w:t xml:space="preserve"> ustawy Pzp</w:t>
      </w:r>
      <w:r w:rsidR="27885D61" w:rsidRPr="003529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0B940D" w14:textId="77777777" w:rsidR="00587F8D" w:rsidRPr="00352984" w:rsidRDefault="00587F8D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</w:p>
    <w:p w14:paraId="6D16EFAE" w14:textId="23F6F99A" w:rsidR="00F634E8" w:rsidRDefault="00587F8D" w:rsidP="00D761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9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Kierownicy poszczególnych jednostek organizacyjnych UG</w:t>
      </w:r>
      <w:r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25FFB"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25FFB" w:rsidRPr="003529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25FFB"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>w oparciu o</w:t>
      </w:r>
      <w:r w:rsidR="00725FFB" w:rsidRPr="003529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25FFB" w:rsidRPr="003529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Zalecenia Rady Ministrów w sprawie uwzględniania przez administrację rządową aspektów społecz</w:t>
      </w:r>
      <w:r w:rsidR="00202FCA" w:rsidRPr="003529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nych w </w:t>
      </w:r>
      <w:r w:rsidR="00482EC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="00202FCA" w:rsidRPr="003529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zamówieniach publicznych –</w:t>
      </w:r>
      <w:r w:rsidR="00725FFB" w:rsidRPr="003529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</w:t>
      </w:r>
      <w:r w:rsidR="00F634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rzyjęte </w:t>
      </w:r>
      <w:r w:rsidR="00725FFB" w:rsidRPr="003529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przez Radę Ministrów 29 marca 2017 r.</w:t>
      </w:r>
      <w:r w:rsidR="00202FCA" w:rsidRPr="003529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</w:t>
      </w:r>
      <w:r w:rsidR="00725FFB" w:rsidRPr="003529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>zobow</w:t>
      </w:r>
      <w:r w:rsidR="00F371D7"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>iązani są do zapewnienia, aby w </w:t>
      </w:r>
      <w:r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>jednostkach którymi kierują</w:t>
      </w:r>
      <w:r w:rsidR="2D6AC1A3"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aspekty społeczne, w tym w szczególności klauzule</w:t>
      </w:r>
      <w:r w:rsidR="00725FFB"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społeczne, były uwzględniane w </w:t>
      </w:r>
      <w:r w:rsidRPr="00352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możliwie jak najszerszym zakresie oraz w jak największej liczbie postępowań o udzielenie zamówienia publicznego. </w:t>
      </w:r>
    </w:p>
    <w:p w14:paraId="6A024520" w14:textId="23F5DB67" w:rsidR="00587F8D" w:rsidRPr="00352984" w:rsidRDefault="00587F8D" w:rsidP="00D761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celu</w:t>
      </w:r>
      <w:r w:rsidR="0042480F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3874513" w14:textId="236FC9DC" w:rsidR="00587F8D" w:rsidRPr="00352984" w:rsidRDefault="00587F8D" w:rsidP="00D500F8">
      <w:pPr>
        <w:numPr>
          <w:ilvl w:val="0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przy sporządzaniu planu postępowań o udzielenie zamówienia publicznego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każdy rok budżetowy </w:t>
      </w:r>
      <w:r w:rsidR="0042480F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dokonać wstępnej analizy możliwości uwzględnienia aspektów społecznych w </w:t>
      </w:r>
      <w:r w:rsidR="00482E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planowanych do udzielenia zamówieniach oraz pogłębionej analizy w tym zakresie na etapie</w:t>
      </w:r>
      <w:r w:rsidR="00D55E2A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przygotowania konkretnego postę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zamówienia, a także do uwzględniania tych aspektów we wszystkich zamówieniach, w których pogłębiona analiza na taką możliwość wskazała</w:t>
      </w:r>
      <w:r w:rsidR="00F30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752AE4" w14:textId="7385CF66" w:rsidR="00587F8D" w:rsidRPr="00352984" w:rsidRDefault="00587F8D" w:rsidP="00D500F8">
      <w:pPr>
        <w:numPr>
          <w:ilvl w:val="0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dokonywanie oceny możliwości uwzględnienia aspektów społecznych przy </w:t>
      </w: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udzielaniu zamówień publicznych nieobjętych procedurami określonymi ustawą Pzp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uwzględnianie tych aspektów we wszystkich zamówieniach, w których analiza wskazała na taką możliwość</w:t>
      </w:r>
      <w:r w:rsidR="00F300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D069F3" w14:textId="3CE59C9C" w:rsidR="00587F8D" w:rsidRPr="00352984" w:rsidRDefault="0042480F" w:rsidP="00D500F8">
      <w:pPr>
        <w:numPr>
          <w:ilvl w:val="0"/>
          <w:numId w:val="30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587F8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aby umowy w sprawach zamówień publicznych określające społeczne wymagania związane z realizacją zamówienia z</w:t>
      </w:r>
      <w:r w:rsid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>awierały uprawnienia kontrolne Z</w:t>
      </w:r>
      <w:r w:rsidR="00587F8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oraz przewidywały stosowne sankcje, pozwalające instytucji </w:t>
      </w:r>
      <w:r w:rsidR="00654EA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87F8D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amawiającej na skuteczne egzekwowanie stosowania przez wykonawców tych wymagań na etapie realizacji zamówienia.</w:t>
      </w:r>
    </w:p>
    <w:p w14:paraId="60061E4C" w14:textId="77777777" w:rsidR="00F371D7" w:rsidRPr="00352984" w:rsidRDefault="00F371D7" w:rsidP="00D761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EE532" w14:textId="77777777" w:rsidR="00587F8D" w:rsidRPr="00352984" w:rsidRDefault="00587F8D" w:rsidP="00D761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trakcie przygotowania i prowadzenia postępowania o udzielenie zamówienia publicznego rekomenduje się korzystanie z publikacji oraz innych materiałów dotyczących aspektów społecznych w zamówieniach publicznych, opracowanych przez Prezesa Urzędu Zamówień Publicznych.</w:t>
      </w:r>
    </w:p>
    <w:p w14:paraId="44EAFD9C" w14:textId="77777777" w:rsidR="00F371D7" w:rsidRPr="00352984" w:rsidRDefault="00F371D7" w:rsidP="00D761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F30E1" w14:textId="276C846E" w:rsidR="00587F8D" w:rsidRPr="00352984" w:rsidRDefault="00F371D7" w:rsidP="00D76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(UG) uwzględnia stosowanie aspektów społecznych</w:t>
      </w:r>
      <w:r w:rsidR="00587F8D" w:rsidRPr="003529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udzielanych przez niego zamówieniach publicznych w rocznym sprawozdaniu o udzielonych zamówieniach, o którym mowa w art. </w:t>
      </w:r>
      <w:r w:rsidR="2D1A4E6A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przekazywanym Prezesowi Urzędu Zamówień Publicznych, w terminie do 1 </w:t>
      </w:r>
      <w:r w:rsidR="00482E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każdego roku.</w:t>
      </w:r>
    </w:p>
    <w:p w14:paraId="4B94D5A5" w14:textId="77777777" w:rsidR="00F371D7" w:rsidRPr="00352984" w:rsidRDefault="00F371D7" w:rsidP="00D761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489BBF" w14:textId="77777777" w:rsidR="003C4650" w:rsidRPr="00352984" w:rsidRDefault="001921CD" w:rsidP="00D761A2">
      <w:pPr>
        <w:pStyle w:val="Akapitzlist"/>
        <w:numPr>
          <w:ilvl w:val="0"/>
          <w:numId w:val="20"/>
        </w:numPr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b/>
          <w:bCs/>
          <w:kern w:val="24"/>
          <w:sz w:val="24"/>
          <w:szCs w:val="24"/>
          <w:lang w:eastAsia="pl-PL"/>
        </w:rPr>
        <w:t>ASPEKT</w:t>
      </w:r>
      <w:r w:rsidR="00C10001" w:rsidRPr="00352984">
        <w:rPr>
          <w:rFonts w:ascii="Times New Roman" w:eastAsia="DejaVu Sans" w:hAnsi="Times New Roman" w:cs="Times New Roman"/>
          <w:b/>
          <w:bCs/>
          <w:kern w:val="24"/>
          <w:sz w:val="24"/>
          <w:szCs w:val="24"/>
          <w:lang w:eastAsia="pl-PL"/>
        </w:rPr>
        <w:t>Y ŚRODOWISKOWE</w:t>
      </w:r>
    </w:p>
    <w:p w14:paraId="3DEEC669" w14:textId="77777777" w:rsidR="00E73120" w:rsidRPr="00352984" w:rsidRDefault="00E73120" w:rsidP="00D761A2">
      <w:pPr>
        <w:pStyle w:val="Akapitzlist"/>
        <w:spacing w:before="120"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ED0AA" w14:textId="09212790" w:rsidR="00746AEF" w:rsidRPr="00352984" w:rsidRDefault="00C10001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Aspekty środowiskowe oceniane są</w:t>
      </w:r>
      <w:r w:rsidR="003C4650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z perspektywy wpływu proponowanego rozwiązania na środowisko oraz pod względem ochrony środowiska. Takie działanie ma na celu ograniczenie negatywnego wpływu produktów lub usług na środowisko naturalne. </w:t>
      </w:r>
    </w:p>
    <w:p w14:paraId="3656B9AB" w14:textId="77777777" w:rsidR="00557C4E" w:rsidRPr="00352984" w:rsidRDefault="00557C4E" w:rsidP="00D761A2">
      <w:pPr>
        <w:spacing w:after="0" w:line="276" w:lineRule="auto"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</w:p>
    <w:p w14:paraId="6BA86A36" w14:textId="77777777" w:rsidR="00557C4E" w:rsidRPr="00352984" w:rsidRDefault="00557C4E" w:rsidP="00D76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Aspekty środowiskowe obejmują przykładowo:</w:t>
      </w:r>
    </w:p>
    <w:p w14:paraId="7B62F166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zastosowanie najlepszych dostępnych technologii w zakresie oddziaływania na środowisko,</w:t>
      </w:r>
    </w:p>
    <w:p w14:paraId="236DCAB3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koszty eksploatacji,</w:t>
      </w:r>
    </w:p>
    <w:p w14:paraId="07D99E12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koszty zużycia produktu,</w:t>
      </w:r>
    </w:p>
    <w:p w14:paraId="79B767CF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jakość techniczną proponowanych rozwiązań,</w:t>
      </w:r>
    </w:p>
    <w:p w14:paraId="2035DA17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poziom e</w:t>
      </w:r>
      <w:r w:rsidR="00FC278C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misji zanieczyszczeń (do atmosfery, wód, ziemi)</w:t>
      </w: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,</w:t>
      </w:r>
    </w:p>
    <w:p w14:paraId="27795F66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zużycie wody (np. przez aparaturę),</w:t>
      </w:r>
    </w:p>
    <w:p w14:paraId="43B5D847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zużycie energii elektrycznej,</w:t>
      </w:r>
    </w:p>
    <w:p w14:paraId="7143304A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zużycie energii cieplnej,</w:t>
      </w:r>
    </w:p>
    <w:p w14:paraId="5D740D08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zużycie paliwa (benzyna, ropa, gaz),</w:t>
      </w:r>
    </w:p>
    <w:p w14:paraId="31FAA2C4" w14:textId="74D94AB3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zużycie materiałów biurowych oraz</w:t>
      </w:r>
      <w:r w:rsidR="00A92289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materiałów eksploatacyjnych do</w:t>
      </w: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sprzętu biurowego,</w:t>
      </w:r>
    </w:p>
    <w:p w14:paraId="40873AF7" w14:textId="77777777" w:rsidR="00557C4E" w:rsidRPr="00352984" w:rsidRDefault="00FC278C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odpady powstałe z użytkowania</w:t>
      </w:r>
      <w:r w:rsidR="00557C4E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sprzętu biurowego i eksploatacyjnego,</w:t>
      </w:r>
    </w:p>
    <w:p w14:paraId="6477743F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wytwarzanie odpadów komunalnych, w tym brak segregacji odpadów,</w:t>
      </w:r>
    </w:p>
    <w:p w14:paraId="6AB91220" w14:textId="2E5AA5DA" w:rsidR="00557C4E" w:rsidRPr="00352984" w:rsidRDefault="00FC278C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emisję</w:t>
      </w:r>
      <w:r w:rsidR="00A92289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pól</w:t>
      </w:r>
      <w:r w:rsidR="00557C4E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elektromagnetycznych,</w:t>
      </w:r>
    </w:p>
    <w:p w14:paraId="566154B4" w14:textId="25B16735" w:rsidR="00557C4E" w:rsidRPr="00352984" w:rsidRDefault="00FC278C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emisj</w:t>
      </w:r>
      <w:r w:rsidR="00A92289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ę</w:t>
      </w:r>
      <w:r w:rsidR="00557C4E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hałasu,</w:t>
      </w:r>
    </w:p>
    <w:p w14:paraId="605A13FD" w14:textId="77777777" w:rsidR="00557C4E" w:rsidRPr="00352984" w:rsidRDefault="00FC278C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wycinkę</w:t>
      </w:r>
      <w:r w:rsidR="00557C4E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drzew i krzewów – uszczuplenie zasobów przyrody,</w:t>
      </w:r>
    </w:p>
    <w:p w14:paraId="5F8435F3" w14:textId="77777777" w:rsidR="00557C4E" w:rsidRPr="00352984" w:rsidRDefault="00FC278C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dewastację</w:t>
      </w:r>
      <w:r w:rsidR="00557C4E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terenów zielonych,</w:t>
      </w:r>
    </w:p>
    <w:p w14:paraId="2A781AE1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urządzanie terenów zielonych, nasadzenia,</w:t>
      </w:r>
    </w:p>
    <w:p w14:paraId="5CEAE4F8" w14:textId="77777777" w:rsidR="00202FCA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zanieczyszczanie powietrza z niskich źródeł emisji,</w:t>
      </w:r>
    </w:p>
    <w:p w14:paraId="46C7FC36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wprowadzanie oczyszczonych ścieków do wód i ziemi – obciążenie wód i ziemi substancjami zanieczyszczającymi,</w:t>
      </w:r>
    </w:p>
    <w:p w14:paraId="2AD8B4CE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zużycie nieodnawialnych zasobów naturalnych,</w:t>
      </w:r>
    </w:p>
    <w:p w14:paraId="3E9EFB36" w14:textId="77777777" w:rsidR="00557C4E" w:rsidRPr="00352984" w:rsidRDefault="00FC278C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dewastację</w:t>
      </w:r>
      <w:r w:rsidR="00557C4E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 xml:space="preserve"> krajobrazu</w:t>
      </w:r>
      <w:r w:rsidR="00D55E2A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,</w:t>
      </w:r>
    </w:p>
    <w:p w14:paraId="118EB57B" w14:textId="77777777" w:rsidR="00557C4E" w:rsidRPr="00352984" w:rsidRDefault="00FC278C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gospodarkę wodno-ściekową</w:t>
      </w:r>
      <w:r w:rsidR="00557C4E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,</w:t>
      </w:r>
    </w:p>
    <w:p w14:paraId="4BC59DD6" w14:textId="77777777" w:rsidR="00557C4E" w:rsidRPr="00352984" w:rsidRDefault="00557C4E" w:rsidP="00D500F8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edukacj</w:t>
      </w:r>
      <w:r w:rsidR="00FC278C"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ę ekologiczną</w:t>
      </w:r>
      <w:r w:rsidRPr="00352984"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  <w:t>.</w:t>
      </w:r>
    </w:p>
    <w:p w14:paraId="78A29F50" w14:textId="57F76A3F" w:rsidR="00F24C60" w:rsidRPr="00352984" w:rsidRDefault="00F24C60" w:rsidP="00D761A2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powinien w miarę możliwości uwzględniać aspekty środowiskowe </w:t>
      </w:r>
      <w:r w:rsidRPr="003529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opisując przedmiot zamówienia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tam gdzie odrębne przepisy nakładają na niego taki obowiązek zobowiązany jest do ich uwzględnienia</w:t>
      </w:r>
      <w:r w:rsidR="00C86DB4"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A21D23" w14:textId="49B3CFCC" w:rsidR="00746AEF" w:rsidRPr="00352984" w:rsidRDefault="00746AEF" w:rsidP="00D761A2">
      <w:pPr>
        <w:shd w:val="clear" w:color="auto" w:fill="FFFFFF" w:themeFill="background1"/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Zamawiający, w zależności od potrzeb i możliwości w danym postępowaniu, może (obok ceny </w:t>
      </w:r>
      <w:r w:rsidR="00A92289" w:rsidRP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A92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kosztu) </w:t>
      </w:r>
      <w:r w:rsidRPr="00A9228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zastosować kryteria odnoszące się do przedmiotu zamówienia obejmujące aspekty środowiskowe</w:t>
      </w:r>
      <w:r w:rsidRPr="0035298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efektywność energetyczną przedmiotu zamówienia.</w:t>
      </w:r>
    </w:p>
    <w:p w14:paraId="5BD39758" w14:textId="06530508" w:rsidR="00666699" w:rsidRPr="00352984" w:rsidRDefault="00E73120" w:rsidP="00D761A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529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Kryteria oceny ofert są związane z przedmiotem zamówienia, jeżeli dotyczą robót budowlanych, dostaw lub usług, które mają być zrealizowane w ramach tego zamówienia, we wszystkich aspektach oraz w odniesieniu do poszczególnych </w:t>
      </w:r>
      <w:r w:rsidRPr="00666699">
        <w:rPr>
          <w:rFonts w:ascii="Times New Roman" w:eastAsiaTheme="minorEastAsia" w:hAnsi="Times New Roman" w:cs="Times New Roman"/>
          <w:sz w:val="24"/>
          <w:szCs w:val="24"/>
          <w:lang w:eastAsia="pl-PL"/>
        </w:rPr>
        <w:t>etapów ich cyklu życia</w:t>
      </w:r>
      <w:r w:rsidR="009C650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o którym mowa w </w:t>
      </w:r>
      <w:r w:rsidR="00666699">
        <w:rPr>
          <w:rFonts w:ascii="Times New Roman" w:eastAsiaTheme="minorEastAsia" w:hAnsi="Times New Roman" w:cs="Times New Roman"/>
          <w:sz w:val="24"/>
          <w:szCs w:val="24"/>
          <w:lang w:eastAsia="pl-PL"/>
        </w:rPr>
        <w:t>art. 7 pkt 2 ustawy Pzp</w:t>
      </w:r>
      <w:r w:rsidRPr="00352984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D2FE369" w14:textId="1237A7F1" w:rsidR="00E73120" w:rsidRPr="00352984" w:rsidRDefault="00E73120" w:rsidP="00D761A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trike/>
          <w:sz w:val="24"/>
          <w:szCs w:val="24"/>
          <w:lang w:eastAsia="pl-PL"/>
        </w:rPr>
      </w:pPr>
      <w:r w:rsidRPr="0035298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Należy pamiętać, że Zamawiający zobowiązany jest określić kryteria oceny ofert w sposób </w:t>
      </w:r>
      <w:r w:rsidR="00A92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jednoznaczny i </w:t>
      </w:r>
      <w:r w:rsidRPr="00352984">
        <w:rPr>
          <w:rFonts w:ascii="Times New Roman" w:eastAsiaTheme="minorEastAsia" w:hAnsi="Times New Roman" w:cs="Times New Roman"/>
          <w:sz w:val="24"/>
          <w:szCs w:val="24"/>
          <w:lang w:eastAsia="pl-PL"/>
        </w:rPr>
        <w:t>zrozumiały, umożliwiający sprawdzenie informacji przedstawianych przez wykonawców.</w:t>
      </w:r>
    </w:p>
    <w:p w14:paraId="53128261" w14:textId="77777777" w:rsidR="00E73120" w:rsidRPr="00352984" w:rsidRDefault="00E73120" w:rsidP="00D761A2">
      <w:pPr>
        <w:spacing w:after="0" w:line="276" w:lineRule="auto"/>
        <w:contextualSpacing/>
        <w:jc w:val="both"/>
        <w:rPr>
          <w:rFonts w:ascii="Times New Roman" w:eastAsia="DejaVu Sans" w:hAnsi="Times New Roman" w:cs="Times New Roman"/>
          <w:kern w:val="24"/>
          <w:sz w:val="24"/>
          <w:szCs w:val="24"/>
          <w:lang w:eastAsia="pl-PL"/>
        </w:rPr>
      </w:pPr>
    </w:p>
    <w:p w14:paraId="7AA670B8" w14:textId="77777777" w:rsidR="003C4650" w:rsidRPr="00352984" w:rsidRDefault="001921CD" w:rsidP="00D761A2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left="0" w:firstLine="0"/>
        <w:jc w:val="both"/>
      </w:pPr>
      <w:r w:rsidRPr="00352984">
        <w:rPr>
          <w:rFonts w:eastAsiaTheme="minorEastAsia"/>
          <w:b/>
          <w:bCs/>
          <w:kern w:val="24"/>
        </w:rPr>
        <w:t>ASPEKT</w:t>
      </w:r>
      <w:r w:rsidR="00C10001" w:rsidRPr="00352984">
        <w:rPr>
          <w:rFonts w:eastAsiaTheme="minorEastAsia"/>
          <w:b/>
          <w:bCs/>
          <w:kern w:val="24"/>
        </w:rPr>
        <w:t>Y INNOWACYJNE</w:t>
      </w:r>
    </w:p>
    <w:p w14:paraId="62486C05" w14:textId="77777777" w:rsidR="00E73120" w:rsidRPr="00352984" w:rsidRDefault="00E73120" w:rsidP="00D761A2">
      <w:pPr>
        <w:pStyle w:val="NormalnyWeb"/>
        <w:spacing w:before="0" w:beforeAutospacing="0" w:after="0" w:afterAutospacing="0" w:line="276" w:lineRule="auto"/>
        <w:jc w:val="both"/>
      </w:pPr>
    </w:p>
    <w:p w14:paraId="2E4D7108" w14:textId="7C32926D" w:rsidR="00557C4E" w:rsidRPr="00352984" w:rsidRDefault="003C4650" w:rsidP="00D761A2">
      <w:pPr>
        <w:pStyle w:val="NormalnyWeb"/>
        <w:spacing w:before="0" w:beforeAutospacing="0" w:after="0" w:afterAutospacing="0" w:line="276" w:lineRule="auto"/>
        <w:jc w:val="both"/>
        <w:rPr>
          <w:rFonts w:eastAsiaTheme="minorEastAsia"/>
          <w:kern w:val="24"/>
        </w:rPr>
      </w:pPr>
      <w:r w:rsidRPr="00352984">
        <w:rPr>
          <w:rFonts w:eastAsiaTheme="minorEastAsia"/>
          <w:kern w:val="24"/>
        </w:rPr>
        <w:t>Innowacyjność określana jest jako proces polegający na przekształceniu istniejących rozwiązań na nowe, lepsze i wprowadzeniu ich do praktycznego zastosowania.</w:t>
      </w:r>
      <w:r w:rsidR="74459249" w:rsidRPr="00352984">
        <w:rPr>
          <w:rFonts w:eastAsiaTheme="minorEastAsia"/>
          <w:kern w:val="24"/>
        </w:rPr>
        <w:t xml:space="preserve"> </w:t>
      </w:r>
    </w:p>
    <w:p w14:paraId="220D2D1F" w14:textId="3B28638C" w:rsidR="00557C4E" w:rsidRPr="00352984" w:rsidRDefault="00557C4E" w:rsidP="00D761A2">
      <w:pPr>
        <w:pStyle w:val="NormalnyWeb"/>
        <w:spacing w:before="0" w:beforeAutospacing="0" w:after="0" w:afterAutospacing="0" w:line="276" w:lineRule="auto"/>
        <w:jc w:val="both"/>
        <w:rPr>
          <w:rFonts w:eastAsiaTheme="minorEastAsia"/>
          <w:kern w:val="24"/>
        </w:rPr>
      </w:pPr>
      <w:r w:rsidRPr="00352984">
        <w:t>Zgodnie z</w:t>
      </w:r>
      <w:r w:rsidR="4178ADC4" w:rsidRPr="00352984">
        <w:t xml:space="preserve"> art. </w:t>
      </w:r>
      <w:r w:rsidR="009C6506">
        <w:t>7</w:t>
      </w:r>
      <w:r w:rsidR="4178ADC4" w:rsidRPr="00352984">
        <w:t xml:space="preserve"> pkt 6 ustawy Pzp przez </w:t>
      </w:r>
      <w:r w:rsidR="00654EA8">
        <w:t>„</w:t>
      </w:r>
      <w:r w:rsidR="4178ADC4" w:rsidRPr="00352984">
        <w:t>innowacj</w:t>
      </w:r>
      <w:r w:rsidR="009C6506">
        <w:t>ę</w:t>
      </w:r>
      <w:r w:rsidR="4178ADC4" w:rsidRPr="00352984">
        <w:t xml:space="preserve">” należy rozumieć </w:t>
      </w:r>
      <w:r w:rsidR="62973525" w:rsidRPr="00352984">
        <w:rPr>
          <w:rFonts w:eastAsiaTheme="minorEastAsia"/>
        </w:rPr>
        <w:t>wdrażanie nowego lub znacznie udoskonalonego produktu, usługi lub procesu, w tym między innymi procesów produkcji, budowy lub konstrukcji, nowej metody marketingowej lub nowej metody organizacyjnej w działalności gospodarczej, organizowaniu pracy lub relacjach zewnętrznych</w:t>
      </w:r>
      <w:r w:rsidR="00D500F8" w:rsidRPr="00352984">
        <w:rPr>
          <w:rFonts w:eastAsiaTheme="minorEastAsia"/>
        </w:rPr>
        <w:t>.</w:t>
      </w:r>
    </w:p>
    <w:p w14:paraId="2ECE4DB0" w14:textId="2ACFD0B5" w:rsidR="00557C4E" w:rsidRPr="00352984" w:rsidRDefault="003C4650" w:rsidP="00D761A2">
      <w:pPr>
        <w:pStyle w:val="NormalnyWeb"/>
        <w:spacing w:before="120" w:beforeAutospacing="0" w:after="0" w:afterAutospacing="0" w:line="276" w:lineRule="auto"/>
        <w:jc w:val="both"/>
        <w:rPr>
          <w:rFonts w:eastAsiaTheme="minorEastAsia"/>
          <w:kern w:val="24"/>
        </w:rPr>
      </w:pPr>
      <w:r w:rsidRPr="00352984">
        <w:rPr>
          <w:rFonts w:eastAsiaTheme="minorEastAsia"/>
          <w:kern w:val="24"/>
        </w:rPr>
        <w:t>Wprowadzenie przez ustawodawcę aspektu innowa</w:t>
      </w:r>
      <w:r w:rsidR="00D55E2A" w:rsidRPr="00352984">
        <w:rPr>
          <w:rFonts w:eastAsiaTheme="minorEastAsia"/>
          <w:kern w:val="24"/>
        </w:rPr>
        <w:t>cyjności ma na celu wspieranie w</w:t>
      </w:r>
      <w:r w:rsidRPr="00352984">
        <w:rPr>
          <w:rFonts w:eastAsiaTheme="minorEastAsia"/>
          <w:kern w:val="24"/>
        </w:rPr>
        <w:t>ykonawców ponoszących większe ryzyko w związku z</w:t>
      </w:r>
      <w:r w:rsidR="00654EA8">
        <w:rPr>
          <w:rFonts w:eastAsiaTheme="minorEastAsia"/>
          <w:kern w:val="24"/>
        </w:rPr>
        <w:t xml:space="preserve"> </w:t>
      </w:r>
      <w:r w:rsidRPr="00352984">
        <w:rPr>
          <w:rFonts w:eastAsiaTheme="minorEastAsia"/>
          <w:kern w:val="24"/>
        </w:rPr>
        <w:t>oferowaniem produktu lub usługi dotychczas niestosowanych.</w:t>
      </w:r>
    </w:p>
    <w:p w14:paraId="57DA7B98" w14:textId="3C7A7F54" w:rsidR="00E25B97" w:rsidRDefault="00557C4E" w:rsidP="00E25B97">
      <w:pPr>
        <w:pStyle w:val="NormalnyWeb"/>
        <w:spacing w:before="240" w:beforeAutospacing="0" w:after="0" w:afterAutospacing="0" w:line="276" w:lineRule="auto"/>
        <w:jc w:val="both"/>
      </w:pPr>
      <w:r w:rsidRPr="00352984">
        <w:t>Zamawiający w miarę swoich potrzeb i możliwości</w:t>
      </w:r>
      <w:r w:rsidR="00E25B97">
        <w:t>:</w:t>
      </w:r>
    </w:p>
    <w:p w14:paraId="179282FF" w14:textId="77777777" w:rsidR="00E25B97" w:rsidRDefault="00E25B97" w:rsidP="00E25B97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u w:val="single"/>
        </w:rPr>
      </w:pPr>
      <w:r w:rsidRPr="00352984">
        <w:t xml:space="preserve">powinien </w:t>
      </w:r>
      <w:r w:rsidR="00557C4E" w:rsidRPr="00352984">
        <w:t xml:space="preserve">uwzględniać aspekty innowacyjne </w:t>
      </w:r>
      <w:r w:rsidR="00557C4E" w:rsidRPr="00352984">
        <w:rPr>
          <w:u w:val="single"/>
        </w:rPr>
        <w:t>opisując przedmiot zamówienia</w:t>
      </w:r>
      <w:r>
        <w:rPr>
          <w:u w:val="single"/>
        </w:rPr>
        <w:t xml:space="preserve">, </w:t>
      </w:r>
    </w:p>
    <w:p w14:paraId="7ADCF728" w14:textId="19CAE3D1" w:rsidR="00E73120" w:rsidRPr="00352984" w:rsidRDefault="00E73120" w:rsidP="00E25B97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ind w:left="284" w:hanging="284"/>
        <w:jc w:val="both"/>
        <w:rPr>
          <w:u w:val="single"/>
        </w:rPr>
      </w:pPr>
      <w:r w:rsidRPr="00352984">
        <w:t xml:space="preserve">może (obok ceny lub kosztu) </w:t>
      </w:r>
      <w:r w:rsidRPr="00352984">
        <w:rPr>
          <w:u w:val="single"/>
        </w:rPr>
        <w:t>zastosować kryteria odnoszące się do przedmiotu zamówienia obejmujące aspekty innowacyjne.</w:t>
      </w:r>
    </w:p>
    <w:p w14:paraId="4654B3D2" w14:textId="1BF8AC3D" w:rsidR="00E73120" w:rsidRPr="00352984" w:rsidRDefault="003C4650" w:rsidP="00D761A2">
      <w:pPr>
        <w:pStyle w:val="NormalnyWeb"/>
        <w:spacing w:before="120" w:beforeAutospacing="0" w:after="0" w:afterAutospacing="0" w:line="276" w:lineRule="auto"/>
        <w:jc w:val="both"/>
        <w:rPr>
          <w:rFonts w:eastAsiaTheme="minorEastAsia"/>
          <w:kern w:val="24"/>
        </w:rPr>
      </w:pPr>
      <w:r w:rsidRPr="00352984">
        <w:rPr>
          <w:rFonts w:eastAsiaTheme="minorEastAsia"/>
          <w:kern w:val="24"/>
        </w:rPr>
        <w:t>Kryterium</w:t>
      </w:r>
      <w:r w:rsidR="22F7155D" w:rsidRPr="00352984">
        <w:rPr>
          <w:rFonts w:eastAsiaTheme="minorEastAsia"/>
          <w:kern w:val="24"/>
        </w:rPr>
        <w:t xml:space="preserve"> jakościowe odnoszące się do aspektów</w:t>
      </w:r>
      <w:r w:rsidRPr="00352984">
        <w:rPr>
          <w:rFonts w:eastAsiaTheme="minorEastAsia"/>
          <w:kern w:val="24"/>
        </w:rPr>
        <w:t xml:space="preserve"> innowacyjn</w:t>
      </w:r>
      <w:r w:rsidR="6559EA57" w:rsidRPr="00352984">
        <w:rPr>
          <w:rFonts w:eastAsiaTheme="minorEastAsia"/>
          <w:kern w:val="24"/>
        </w:rPr>
        <w:t>ych</w:t>
      </w:r>
      <w:r w:rsidRPr="00352984">
        <w:rPr>
          <w:rFonts w:eastAsiaTheme="minorEastAsia"/>
          <w:kern w:val="24"/>
        </w:rPr>
        <w:t xml:space="preserve"> wymaga szczegółowego i </w:t>
      </w:r>
      <w:r w:rsidR="00482EC8">
        <w:rPr>
          <w:rFonts w:eastAsiaTheme="minorEastAsia"/>
          <w:kern w:val="24"/>
        </w:rPr>
        <w:t> </w:t>
      </w:r>
      <w:r w:rsidRPr="00352984">
        <w:rPr>
          <w:rFonts w:eastAsiaTheme="minorEastAsia"/>
          <w:kern w:val="24"/>
        </w:rPr>
        <w:t xml:space="preserve">precyzyjnego opisania przez </w:t>
      </w:r>
      <w:r w:rsidR="00654EA8">
        <w:rPr>
          <w:rFonts w:eastAsiaTheme="minorEastAsia"/>
          <w:kern w:val="24"/>
        </w:rPr>
        <w:t>Z</w:t>
      </w:r>
      <w:r w:rsidRPr="00352984">
        <w:rPr>
          <w:rFonts w:eastAsiaTheme="minorEastAsia"/>
          <w:kern w:val="24"/>
        </w:rPr>
        <w:t>amawiającego. Określona nowość, ulepszenie, nowe cechy towaru czy usługi muszą nieść za sobą pozytywne skutki dla odbior</w:t>
      </w:r>
      <w:r w:rsidR="00654EA8">
        <w:rPr>
          <w:rFonts w:eastAsiaTheme="minorEastAsia"/>
          <w:kern w:val="24"/>
        </w:rPr>
        <w:t>cy danego świadczenia/produktu.</w:t>
      </w:r>
    </w:p>
    <w:p w14:paraId="53FC16F8" w14:textId="11AC60B8" w:rsidR="00D578F5" w:rsidRPr="00352984" w:rsidRDefault="00E73120" w:rsidP="00D761A2">
      <w:pPr>
        <w:pStyle w:val="NormalnyWeb"/>
        <w:spacing w:before="120" w:beforeAutospacing="0" w:after="0" w:afterAutospacing="0" w:line="276" w:lineRule="auto"/>
        <w:jc w:val="both"/>
      </w:pPr>
      <w:r w:rsidRPr="00352984">
        <w:rPr>
          <w:rFonts w:eastAsiaTheme="minorEastAsia"/>
          <w:kern w:val="24"/>
        </w:rPr>
        <w:t>W</w:t>
      </w:r>
      <w:r w:rsidR="003C4650" w:rsidRPr="00352984">
        <w:rPr>
          <w:rFonts w:eastAsiaTheme="minorEastAsia"/>
          <w:kern w:val="24"/>
        </w:rPr>
        <w:t>ybierając kryterium</w:t>
      </w:r>
      <w:r w:rsidR="43A4A2C4" w:rsidRPr="00352984">
        <w:rPr>
          <w:rFonts w:eastAsiaTheme="minorEastAsia"/>
          <w:kern w:val="24"/>
        </w:rPr>
        <w:t xml:space="preserve"> jakościowe odnoszące się do </w:t>
      </w:r>
      <w:r w:rsidR="22D70960" w:rsidRPr="00352984">
        <w:rPr>
          <w:rFonts w:eastAsiaTheme="minorEastAsia"/>
          <w:kern w:val="24"/>
        </w:rPr>
        <w:t>as</w:t>
      </w:r>
      <w:r w:rsidR="43A4A2C4" w:rsidRPr="00352984">
        <w:rPr>
          <w:rFonts w:eastAsiaTheme="minorEastAsia"/>
          <w:kern w:val="24"/>
        </w:rPr>
        <w:t>pektów</w:t>
      </w:r>
      <w:r w:rsidR="003C4650" w:rsidRPr="00352984">
        <w:rPr>
          <w:rFonts w:eastAsiaTheme="minorEastAsia"/>
          <w:kern w:val="24"/>
        </w:rPr>
        <w:t xml:space="preserve"> innowacyjn</w:t>
      </w:r>
      <w:r w:rsidR="2550C8E5" w:rsidRPr="00352984">
        <w:rPr>
          <w:rFonts w:eastAsiaTheme="minorEastAsia"/>
          <w:kern w:val="24"/>
        </w:rPr>
        <w:t>ych</w:t>
      </w:r>
      <w:r w:rsidR="003C4650" w:rsidRPr="00352984">
        <w:rPr>
          <w:rFonts w:eastAsiaTheme="minorEastAsia"/>
          <w:kern w:val="24"/>
        </w:rPr>
        <w:t xml:space="preserve">, </w:t>
      </w:r>
      <w:r w:rsidR="00D500F8" w:rsidRPr="00352984">
        <w:rPr>
          <w:rFonts w:eastAsiaTheme="minorEastAsia"/>
          <w:kern w:val="24"/>
        </w:rPr>
        <w:t>Zamawiający</w:t>
      </w:r>
      <w:r w:rsidR="003C4650" w:rsidRPr="00352984">
        <w:rPr>
          <w:rFonts w:eastAsiaTheme="minorEastAsia"/>
          <w:kern w:val="24"/>
        </w:rPr>
        <w:t xml:space="preserve"> powinien wskazać, jakie cechy usług czy towarów są przez niego pożądane (np. dodatkowe nowe funkcjonalności) czy też jakich efektów zastosowania nowoczesnych rozwiązań oczekuje (np. </w:t>
      </w:r>
      <w:r w:rsidR="00482EC8">
        <w:rPr>
          <w:rFonts w:eastAsiaTheme="minorEastAsia"/>
          <w:kern w:val="24"/>
        </w:rPr>
        <w:t> </w:t>
      </w:r>
      <w:bookmarkStart w:id="0" w:name="_GoBack"/>
      <w:bookmarkEnd w:id="0"/>
      <w:r w:rsidR="003C4650" w:rsidRPr="00352984">
        <w:rPr>
          <w:rFonts w:eastAsiaTheme="minorEastAsia"/>
          <w:kern w:val="24"/>
        </w:rPr>
        <w:t>ograniczenie zużycia energii, ograniczenie emisji spalin).</w:t>
      </w:r>
    </w:p>
    <w:sectPr w:rsidR="00D578F5" w:rsidRPr="00352984" w:rsidSect="00D761A2">
      <w:footerReference w:type="default" r:id="rId11"/>
      <w:pgSz w:w="11906" w:h="16838"/>
      <w:pgMar w:top="709" w:right="1133" w:bottom="567" w:left="1134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84E31" w14:textId="77777777" w:rsidR="00812B6F" w:rsidRDefault="00812B6F" w:rsidP="004325A7">
      <w:pPr>
        <w:spacing w:after="0" w:line="240" w:lineRule="auto"/>
      </w:pPr>
      <w:r>
        <w:separator/>
      </w:r>
    </w:p>
  </w:endnote>
  <w:endnote w:type="continuationSeparator" w:id="0">
    <w:p w14:paraId="53D89BDF" w14:textId="77777777" w:rsidR="00812B6F" w:rsidRDefault="00812B6F" w:rsidP="0043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8394" w14:textId="77777777" w:rsidR="00812B6F" w:rsidRPr="009D5628" w:rsidRDefault="00812B6F" w:rsidP="00D761A2">
    <w:pPr>
      <w:pBdr>
        <w:top w:val="single" w:sz="4" w:space="2" w:color="auto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i/>
      </w:rPr>
    </w:pPr>
    <w:r w:rsidRPr="009D5628">
      <w:rPr>
        <w:rFonts w:ascii="Times New Roman" w:hAnsi="Times New Roman"/>
        <w:i/>
      </w:rPr>
      <w:t>Uniwersytet Gdański, Dział Zamówień Publicznych, ul. Jana Bażyńskiego 8, 80-309 Gdańsk</w:t>
    </w:r>
  </w:p>
  <w:p w14:paraId="5A229AEF" w14:textId="0BF127F3" w:rsidR="00812B6F" w:rsidRDefault="00812B6F" w:rsidP="00D761A2">
    <w:pPr>
      <w:pStyle w:val="Stopka"/>
      <w:jc w:val="right"/>
      <w:rPr>
        <w:rFonts w:ascii="Times New Roman" w:hAnsi="Times New Roman"/>
      </w:rPr>
    </w:pPr>
    <w:r w:rsidRPr="009D5628">
      <w:rPr>
        <w:rFonts w:ascii="Times New Roman" w:hAnsi="Times New Roman"/>
      </w:rPr>
      <w:fldChar w:fldCharType="begin"/>
    </w:r>
    <w:r w:rsidRPr="009D5628">
      <w:rPr>
        <w:rFonts w:ascii="Times New Roman" w:hAnsi="Times New Roman"/>
      </w:rPr>
      <w:instrText xml:space="preserve"> PAGE   \* MERGEFORMAT </w:instrText>
    </w:r>
    <w:r w:rsidRPr="009D562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9D5628">
      <w:rPr>
        <w:rFonts w:ascii="Times New Roman" w:hAnsi="Times New Roman"/>
      </w:rPr>
      <w:fldChar w:fldCharType="end"/>
    </w:r>
  </w:p>
  <w:p w14:paraId="4B99056E" w14:textId="77777777" w:rsidR="00812B6F" w:rsidRDefault="00812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97AD" w14:textId="77777777" w:rsidR="00812B6F" w:rsidRDefault="00812B6F" w:rsidP="004325A7">
      <w:pPr>
        <w:spacing w:after="0" w:line="240" w:lineRule="auto"/>
      </w:pPr>
      <w:r>
        <w:separator/>
      </w:r>
    </w:p>
  </w:footnote>
  <w:footnote w:type="continuationSeparator" w:id="0">
    <w:p w14:paraId="651C7DED" w14:textId="77777777" w:rsidR="00812B6F" w:rsidRDefault="00812B6F" w:rsidP="0043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06F"/>
    <w:multiLevelType w:val="hybridMultilevel"/>
    <w:tmpl w:val="C9520D6A"/>
    <w:lvl w:ilvl="0" w:tplc="BDEEE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810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CB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66C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E2D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307F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05F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789A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E9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592F"/>
    <w:multiLevelType w:val="hybridMultilevel"/>
    <w:tmpl w:val="D604DD64"/>
    <w:lvl w:ilvl="0" w:tplc="5D7E4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4DD"/>
    <w:multiLevelType w:val="hybridMultilevel"/>
    <w:tmpl w:val="6CC65022"/>
    <w:lvl w:ilvl="0" w:tplc="67DCF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876"/>
    <w:multiLevelType w:val="hybridMultilevel"/>
    <w:tmpl w:val="8BDE5926"/>
    <w:lvl w:ilvl="0" w:tplc="A36E5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7C2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04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4A2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E862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2E3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9E0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566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D68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E6F8E"/>
    <w:multiLevelType w:val="hybridMultilevel"/>
    <w:tmpl w:val="F68CF1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B3C1D8A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C1EA2"/>
    <w:multiLevelType w:val="hybridMultilevel"/>
    <w:tmpl w:val="19C603FC"/>
    <w:lvl w:ilvl="0" w:tplc="29E47D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6060"/>
    <w:multiLevelType w:val="hybridMultilevel"/>
    <w:tmpl w:val="0A70BB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254C6F"/>
    <w:multiLevelType w:val="hybridMultilevel"/>
    <w:tmpl w:val="0DEA295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2223C6C"/>
    <w:multiLevelType w:val="hybridMultilevel"/>
    <w:tmpl w:val="51E04ECA"/>
    <w:lvl w:ilvl="0" w:tplc="81DC3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C65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0A0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025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00D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86F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BAE2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5AB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E2183"/>
    <w:multiLevelType w:val="hybridMultilevel"/>
    <w:tmpl w:val="B3E4CC74"/>
    <w:lvl w:ilvl="0" w:tplc="26F28D1E">
      <w:start w:val="1"/>
      <w:numFmt w:val="lowerLetter"/>
      <w:lvlText w:val="%1)"/>
      <w:lvlJc w:val="left"/>
      <w:pPr>
        <w:ind w:left="720" w:hanging="360"/>
      </w:pPr>
    </w:lvl>
    <w:lvl w:ilvl="1" w:tplc="30C0A038">
      <w:start w:val="1"/>
      <w:numFmt w:val="lowerLetter"/>
      <w:lvlText w:val="%2."/>
      <w:lvlJc w:val="left"/>
      <w:pPr>
        <w:ind w:left="1440" w:hanging="360"/>
      </w:pPr>
    </w:lvl>
    <w:lvl w:ilvl="2" w:tplc="131C9DA6">
      <w:start w:val="1"/>
      <w:numFmt w:val="lowerRoman"/>
      <w:lvlText w:val="%3."/>
      <w:lvlJc w:val="right"/>
      <w:pPr>
        <w:ind w:left="2160" w:hanging="180"/>
      </w:pPr>
    </w:lvl>
    <w:lvl w:ilvl="3" w:tplc="64BE6C12">
      <w:start w:val="1"/>
      <w:numFmt w:val="decimal"/>
      <w:lvlText w:val="%4."/>
      <w:lvlJc w:val="left"/>
      <w:pPr>
        <w:ind w:left="2880" w:hanging="360"/>
      </w:pPr>
    </w:lvl>
    <w:lvl w:ilvl="4" w:tplc="7E4A3D42">
      <w:start w:val="1"/>
      <w:numFmt w:val="lowerLetter"/>
      <w:lvlText w:val="%5."/>
      <w:lvlJc w:val="left"/>
      <w:pPr>
        <w:ind w:left="3600" w:hanging="360"/>
      </w:pPr>
    </w:lvl>
    <w:lvl w:ilvl="5" w:tplc="7BE45AA8">
      <w:start w:val="1"/>
      <w:numFmt w:val="lowerRoman"/>
      <w:lvlText w:val="%6."/>
      <w:lvlJc w:val="right"/>
      <w:pPr>
        <w:ind w:left="4320" w:hanging="180"/>
      </w:pPr>
    </w:lvl>
    <w:lvl w:ilvl="6" w:tplc="6AF6F830">
      <w:start w:val="1"/>
      <w:numFmt w:val="decimal"/>
      <w:lvlText w:val="%7."/>
      <w:lvlJc w:val="left"/>
      <w:pPr>
        <w:ind w:left="5040" w:hanging="360"/>
      </w:pPr>
    </w:lvl>
    <w:lvl w:ilvl="7" w:tplc="CAE8E1E8">
      <w:start w:val="1"/>
      <w:numFmt w:val="lowerLetter"/>
      <w:lvlText w:val="%8."/>
      <w:lvlJc w:val="left"/>
      <w:pPr>
        <w:ind w:left="5760" w:hanging="360"/>
      </w:pPr>
    </w:lvl>
    <w:lvl w:ilvl="8" w:tplc="088A09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0EE4"/>
    <w:multiLevelType w:val="hybridMultilevel"/>
    <w:tmpl w:val="FCCE12EC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0915F68"/>
    <w:multiLevelType w:val="hybridMultilevel"/>
    <w:tmpl w:val="F586A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B3C1D8A">
      <w:start w:val="1"/>
      <w:numFmt w:val="bullet"/>
      <w:lvlText w:val=""/>
      <w:lvlJc w:val="left"/>
      <w:pPr>
        <w:ind w:left="204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A5459"/>
    <w:multiLevelType w:val="hybridMultilevel"/>
    <w:tmpl w:val="5B38D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16100"/>
    <w:multiLevelType w:val="hybridMultilevel"/>
    <w:tmpl w:val="F954B36A"/>
    <w:lvl w:ilvl="0" w:tplc="04150011">
      <w:start w:val="1"/>
      <w:numFmt w:val="decimal"/>
      <w:lvlText w:val="%1)"/>
      <w:lvlJc w:val="left"/>
      <w:pPr>
        <w:ind w:left="165" w:hanging="360"/>
      </w:pPr>
    </w:lvl>
    <w:lvl w:ilvl="1" w:tplc="04150019" w:tentative="1">
      <w:start w:val="1"/>
      <w:numFmt w:val="lowerLetter"/>
      <w:lvlText w:val="%2."/>
      <w:lvlJc w:val="left"/>
      <w:pPr>
        <w:ind w:left="885" w:hanging="360"/>
      </w:pPr>
    </w:lvl>
    <w:lvl w:ilvl="2" w:tplc="0415001B" w:tentative="1">
      <w:start w:val="1"/>
      <w:numFmt w:val="lowerRoman"/>
      <w:lvlText w:val="%3."/>
      <w:lvlJc w:val="right"/>
      <w:pPr>
        <w:ind w:left="1605" w:hanging="180"/>
      </w:pPr>
    </w:lvl>
    <w:lvl w:ilvl="3" w:tplc="0415000F" w:tentative="1">
      <w:start w:val="1"/>
      <w:numFmt w:val="decimal"/>
      <w:lvlText w:val="%4."/>
      <w:lvlJc w:val="left"/>
      <w:pPr>
        <w:ind w:left="2325" w:hanging="360"/>
      </w:pPr>
    </w:lvl>
    <w:lvl w:ilvl="4" w:tplc="04150019" w:tentative="1">
      <w:start w:val="1"/>
      <w:numFmt w:val="lowerLetter"/>
      <w:lvlText w:val="%5."/>
      <w:lvlJc w:val="left"/>
      <w:pPr>
        <w:ind w:left="3045" w:hanging="360"/>
      </w:pPr>
    </w:lvl>
    <w:lvl w:ilvl="5" w:tplc="0415001B" w:tentative="1">
      <w:start w:val="1"/>
      <w:numFmt w:val="lowerRoman"/>
      <w:lvlText w:val="%6."/>
      <w:lvlJc w:val="right"/>
      <w:pPr>
        <w:ind w:left="3765" w:hanging="180"/>
      </w:pPr>
    </w:lvl>
    <w:lvl w:ilvl="6" w:tplc="0415000F" w:tentative="1">
      <w:start w:val="1"/>
      <w:numFmt w:val="decimal"/>
      <w:lvlText w:val="%7."/>
      <w:lvlJc w:val="left"/>
      <w:pPr>
        <w:ind w:left="4485" w:hanging="360"/>
      </w:pPr>
    </w:lvl>
    <w:lvl w:ilvl="7" w:tplc="04150019" w:tentative="1">
      <w:start w:val="1"/>
      <w:numFmt w:val="lowerLetter"/>
      <w:lvlText w:val="%8."/>
      <w:lvlJc w:val="left"/>
      <w:pPr>
        <w:ind w:left="5205" w:hanging="360"/>
      </w:pPr>
    </w:lvl>
    <w:lvl w:ilvl="8" w:tplc="0415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14" w15:restartNumberingAfterBreak="0">
    <w:nsid w:val="4165098C"/>
    <w:multiLevelType w:val="hybridMultilevel"/>
    <w:tmpl w:val="C5E68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65EBA"/>
    <w:multiLevelType w:val="hybridMultilevel"/>
    <w:tmpl w:val="ADD6977E"/>
    <w:lvl w:ilvl="0" w:tplc="B6BA790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87AE8"/>
    <w:multiLevelType w:val="hybridMultilevel"/>
    <w:tmpl w:val="C566544E"/>
    <w:lvl w:ilvl="0" w:tplc="2D00C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607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F0D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9AA9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2C3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F0E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BE3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D6CB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69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0914F0"/>
    <w:multiLevelType w:val="hybridMultilevel"/>
    <w:tmpl w:val="DCF651EC"/>
    <w:lvl w:ilvl="0" w:tplc="1A94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DA6C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C2F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A4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CE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54C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87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E3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9F0840"/>
    <w:multiLevelType w:val="hybridMultilevel"/>
    <w:tmpl w:val="25E42878"/>
    <w:lvl w:ilvl="0" w:tplc="C74C6AEA">
      <w:start w:val="1"/>
      <w:numFmt w:val="upperRoman"/>
      <w:lvlText w:val="%1."/>
      <w:lvlJc w:val="left"/>
      <w:pPr>
        <w:ind w:left="1080" w:hanging="720"/>
      </w:pPr>
      <w:rPr>
        <w:rFonts w:eastAsia="DejaVu Sans" w:hint="default"/>
        <w:b/>
        <w:color w:val="1E1C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D3C85"/>
    <w:multiLevelType w:val="hybridMultilevel"/>
    <w:tmpl w:val="539E59B4"/>
    <w:lvl w:ilvl="0" w:tplc="DA5ECE10">
      <w:start w:val="1"/>
      <w:numFmt w:val="decimal"/>
      <w:lvlText w:val="%1)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4C604254"/>
    <w:multiLevelType w:val="hybridMultilevel"/>
    <w:tmpl w:val="0A387308"/>
    <w:lvl w:ilvl="0" w:tplc="4DC29126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F4C589C"/>
    <w:multiLevelType w:val="hybridMultilevel"/>
    <w:tmpl w:val="3F08AB60"/>
    <w:lvl w:ilvl="0" w:tplc="B882D29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C4996"/>
    <w:multiLevelType w:val="hybridMultilevel"/>
    <w:tmpl w:val="9FDC26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CB56E2"/>
    <w:multiLevelType w:val="hybridMultilevel"/>
    <w:tmpl w:val="F6302FB0"/>
    <w:lvl w:ilvl="0" w:tplc="B6BA790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42EB2"/>
    <w:multiLevelType w:val="hybridMultilevel"/>
    <w:tmpl w:val="41A25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71741"/>
    <w:multiLevelType w:val="hybridMultilevel"/>
    <w:tmpl w:val="7C4A9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82EE5"/>
    <w:multiLevelType w:val="hybridMultilevel"/>
    <w:tmpl w:val="B74C7656"/>
    <w:lvl w:ilvl="0" w:tplc="58BCB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DD20B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7A4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9A07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7CD6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4E1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B41D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088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8A6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6B73CC"/>
    <w:multiLevelType w:val="hybridMultilevel"/>
    <w:tmpl w:val="415236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1B3C1D8A">
      <w:start w:val="1"/>
      <w:numFmt w:val="bullet"/>
      <w:lvlText w:val=""/>
      <w:lvlJc w:val="left"/>
      <w:pPr>
        <w:ind w:left="168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343661"/>
    <w:multiLevelType w:val="hybridMultilevel"/>
    <w:tmpl w:val="D93A43A4"/>
    <w:lvl w:ilvl="0" w:tplc="50D0B6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B3C1D8A">
      <w:start w:val="1"/>
      <w:numFmt w:val="bullet"/>
      <w:lvlText w:val=""/>
      <w:lvlJc w:val="left"/>
      <w:pPr>
        <w:ind w:left="2046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83078"/>
    <w:multiLevelType w:val="hybridMultilevel"/>
    <w:tmpl w:val="8692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A1DDA"/>
    <w:multiLevelType w:val="multilevel"/>
    <w:tmpl w:val="A5E00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D463E"/>
    <w:multiLevelType w:val="hybridMultilevel"/>
    <w:tmpl w:val="1A661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3F61"/>
    <w:multiLevelType w:val="hybridMultilevel"/>
    <w:tmpl w:val="7FEA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04F6C"/>
    <w:multiLevelType w:val="hybridMultilevel"/>
    <w:tmpl w:val="32AC38A0"/>
    <w:lvl w:ilvl="0" w:tplc="1B3C1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2"/>
  </w:num>
  <w:num w:numId="4">
    <w:abstractNumId w:val="24"/>
  </w:num>
  <w:num w:numId="5">
    <w:abstractNumId w:val="1"/>
  </w:num>
  <w:num w:numId="6">
    <w:abstractNumId w:val="10"/>
  </w:num>
  <w:num w:numId="7">
    <w:abstractNumId w:val="23"/>
  </w:num>
  <w:num w:numId="8">
    <w:abstractNumId w:val="20"/>
  </w:num>
  <w:num w:numId="9">
    <w:abstractNumId w:val="19"/>
  </w:num>
  <w:num w:numId="10">
    <w:abstractNumId w:val="6"/>
  </w:num>
  <w:num w:numId="11">
    <w:abstractNumId w:val="15"/>
  </w:num>
  <w:num w:numId="12">
    <w:abstractNumId w:val="21"/>
  </w:num>
  <w:num w:numId="13">
    <w:abstractNumId w:val="32"/>
  </w:num>
  <w:num w:numId="14">
    <w:abstractNumId w:val="11"/>
  </w:num>
  <w:num w:numId="15">
    <w:abstractNumId w:val="13"/>
  </w:num>
  <w:num w:numId="16">
    <w:abstractNumId w:val="4"/>
  </w:num>
  <w:num w:numId="17">
    <w:abstractNumId w:val="0"/>
  </w:num>
  <w:num w:numId="18">
    <w:abstractNumId w:val="29"/>
  </w:num>
  <w:num w:numId="19">
    <w:abstractNumId w:val="25"/>
  </w:num>
  <w:num w:numId="20">
    <w:abstractNumId w:val="18"/>
  </w:num>
  <w:num w:numId="21">
    <w:abstractNumId w:val="28"/>
  </w:num>
  <w:num w:numId="22">
    <w:abstractNumId w:val="27"/>
  </w:num>
  <w:num w:numId="23">
    <w:abstractNumId w:val="7"/>
  </w:num>
  <w:num w:numId="24">
    <w:abstractNumId w:val="8"/>
  </w:num>
  <w:num w:numId="25">
    <w:abstractNumId w:val="3"/>
  </w:num>
  <w:num w:numId="26">
    <w:abstractNumId w:val="12"/>
  </w:num>
  <w:num w:numId="27">
    <w:abstractNumId w:val="5"/>
  </w:num>
  <w:num w:numId="28">
    <w:abstractNumId w:val="14"/>
  </w:num>
  <w:num w:numId="29">
    <w:abstractNumId w:val="26"/>
  </w:num>
  <w:num w:numId="30">
    <w:abstractNumId w:val="16"/>
  </w:num>
  <w:num w:numId="31">
    <w:abstractNumId w:val="17"/>
  </w:num>
  <w:num w:numId="32">
    <w:abstractNumId w:val="30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23"/>
    <w:rsid w:val="0000368D"/>
    <w:rsid w:val="00006F26"/>
    <w:rsid w:val="00011FB5"/>
    <w:rsid w:val="000378B1"/>
    <w:rsid w:val="0006704F"/>
    <w:rsid w:val="000716F3"/>
    <w:rsid w:val="0008480F"/>
    <w:rsid w:val="000920B4"/>
    <w:rsid w:val="000959BB"/>
    <w:rsid w:val="000A4D65"/>
    <w:rsid w:val="000B72C2"/>
    <w:rsid w:val="00115B4C"/>
    <w:rsid w:val="0013705A"/>
    <w:rsid w:val="001500EF"/>
    <w:rsid w:val="001523B5"/>
    <w:rsid w:val="001921CD"/>
    <w:rsid w:val="00193A75"/>
    <w:rsid w:val="001A0DD8"/>
    <w:rsid w:val="001B135C"/>
    <w:rsid w:val="001D5859"/>
    <w:rsid w:val="002029AA"/>
    <w:rsid w:val="00202FCA"/>
    <w:rsid w:val="002240F1"/>
    <w:rsid w:val="00245105"/>
    <w:rsid w:val="00251C06"/>
    <w:rsid w:val="00283D8B"/>
    <w:rsid w:val="002863FC"/>
    <w:rsid w:val="002907D6"/>
    <w:rsid w:val="00290C2B"/>
    <w:rsid w:val="00293303"/>
    <w:rsid w:val="002C699D"/>
    <w:rsid w:val="002D1167"/>
    <w:rsid w:val="002D56DC"/>
    <w:rsid w:val="002D6F7B"/>
    <w:rsid w:val="002F7907"/>
    <w:rsid w:val="00311B28"/>
    <w:rsid w:val="003141DD"/>
    <w:rsid w:val="00327286"/>
    <w:rsid w:val="00352984"/>
    <w:rsid w:val="00355A2C"/>
    <w:rsid w:val="00356659"/>
    <w:rsid w:val="00391207"/>
    <w:rsid w:val="00392E06"/>
    <w:rsid w:val="003C3AD2"/>
    <w:rsid w:val="003C4650"/>
    <w:rsid w:val="003C4BA7"/>
    <w:rsid w:val="003E21BA"/>
    <w:rsid w:val="003E36BF"/>
    <w:rsid w:val="003F068E"/>
    <w:rsid w:val="003F57DE"/>
    <w:rsid w:val="0042480F"/>
    <w:rsid w:val="0042649B"/>
    <w:rsid w:val="004325A7"/>
    <w:rsid w:val="00442C59"/>
    <w:rsid w:val="00457E04"/>
    <w:rsid w:val="00482EC8"/>
    <w:rsid w:val="004865BE"/>
    <w:rsid w:val="00495903"/>
    <w:rsid w:val="00495C5A"/>
    <w:rsid w:val="004E6768"/>
    <w:rsid w:val="005119BC"/>
    <w:rsid w:val="00532592"/>
    <w:rsid w:val="00534B78"/>
    <w:rsid w:val="00557C4E"/>
    <w:rsid w:val="00584526"/>
    <w:rsid w:val="00587F8D"/>
    <w:rsid w:val="005941BC"/>
    <w:rsid w:val="006043C3"/>
    <w:rsid w:val="00614D22"/>
    <w:rsid w:val="0062118E"/>
    <w:rsid w:val="0062495A"/>
    <w:rsid w:val="00647001"/>
    <w:rsid w:val="00654EA8"/>
    <w:rsid w:val="00666699"/>
    <w:rsid w:val="0069443D"/>
    <w:rsid w:val="00697028"/>
    <w:rsid w:val="006C736D"/>
    <w:rsid w:val="006D7C3C"/>
    <w:rsid w:val="006E7A14"/>
    <w:rsid w:val="006F3FA4"/>
    <w:rsid w:val="00720867"/>
    <w:rsid w:val="007259A0"/>
    <w:rsid w:val="00725FFB"/>
    <w:rsid w:val="00746AEF"/>
    <w:rsid w:val="00767CE0"/>
    <w:rsid w:val="0077537E"/>
    <w:rsid w:val="007830A7"/>
    <w:rsid w:val="007A794C"/>
    <w:rsid w:val="007D7330"/>
    <w:rsid w:val="007F1A20"/>
    <w:rsid w:val="007F6B22"/>
    <w:rsid w:val="00811F79"/>
    <w:rsid w:val="00812B6F"/>
    <w:rsid w:val="00822013"/>
    <w:rsid w:val="008865FB"/>
    <w:rsid w:val="008C59F4"/>
    <w:rsid w:val="008D0BF9"/>
    <w:rsid w:val="008F0277"/>
    <w:rsid w:val="008F0892"/>
    <w:rsid w:val="00914E8E"/>
    <w:rsid w:val="009B1FF7"/>
    <w:rsid w:val="009C6506"/>
    <w:rsid w:val="009D485F"/>
    <w:rsid w:val="00A25298"/>
    <w:rsid w:val="00A5797B"/>
    <w:rsid w:val="00A65B3B"/>
    <w:rsid w:val="00A67952"/>
    <w:rsid w:val="00A92289"/>
    <w:rsid w:val="00AD44D6"/>
    <w:rsid w:val="00AF366A"/>
    <w:rsid w:val="00B139BC"/>
    <w:rsid w:val="00B164D4"/>
    <w:rsid w:val="00BA3857"/>
    <w:rsid w:val="00BA4D8C"/>
    <w:rsid w:val="00C10001"/>
    <w:rsid w:val="00C14B1C"/>
    <w:rsid w:val="00C52DD4"/>
    <w:rsid w:val="00C648DE"/>
    <w:rsid w:val="00C66EA9"/>
    <w:rsid w:val="00C86DB4"/>
    <w:rsid w:val="00CB6E67"/>
    <w:rsid w:val="00D1501B"/>
    <w:rsid w:val="00D24BC7"/>
    <w:rsid w:val="00D31026"/>
    <w:rsid w:val="00D500F8"/>
    <w:rsid w:val="00D55E2A"/>
    <w:rsid w:val="00D578F5"/>
    <w:rsid w:val="00D63D33"/>
    <w:rsid w:val="00D761A2"/>
    <w:rsid w:val="00D90623"/>
    <w:rsid w:val="00D91D47"/>
    <w:rsid w:val="00DB1852"/>
    <w:rsid w:val="00DC1687"/>
    <w:rsid w:val="00E05BCF"/>
    <w:rsid w:val="00E25B97"/>
    <w:rsid w:val="00E27CAD"/>
    <w:rsid w:val="00E44475"/>
    <w:rsid w:val="00E47408"/>
    <w:rsid w:val="00E73120"/>
    <w:rsid w:val="00E77CFA"/>
    <w:rsid w:val="00E8092A"/>
    <w:rsid w:val="00E8169A"/>
    <w:rsid w:val="00EB6F91"/>
    <w:rsid w:val="00ED28D3"/>
    <w:rsid w:val="00EF7C78"/>
    <w:rsid w:val="00F12DA7"/>
    <w:rsid w:val="00F24C60"/>
    <w:rsid w:val="00F300EB"/>
    <w:rsid w:val="00F371D7"/>
    <w:rsid w:val="00F4587B"/>
    <w:rsid w:val="00F57816"/>
    <w:rsid w:val="00F634E8"/>
    <w:rsid w:val="00FB2254"/>
    <w:rsid w:val="00FB60EE"/>
    <w:rsid w:val="00FC278C"/>
    <w:rsid w:val="00FC59BF"/>
    <w:rsid w:val="011EC2FF"/>
    <w:rsid w:val="01CE1C1F"/>
    <w:rsid w:val="02D01301"/>
    <w:rsid w:val="05E773BC"/>
    <w:rsid w:val="06473404"/>
    <w:rsid w:val="06AFC131"/>
    <w:rsid w:val="0783441D"/>
    <w:rsid w:val="07A1CAC3"/>
    <w:rsid w:val="08A12B89"/>
    <w:rsid w:val="09272942"/>
    <w:rsid w:val="097A334A"/>
    <w:rsid w:val="0A6D2C84"/>
    <w:rsid w:val="0CC2B729"/>
    <w:rsid w:val="0E25C453"/>
    <w:rsid w:val="0E33FD6D"/>
    <w:rsid w:val="0E62D2F2"/>
    <w:rsid w:val="0EC2C09C"/>
    <w:rsid w:val="114A666A"/>
    <w:rsid w:val="117A6E74"/>
    <w:rsid w:val="131C5E27"/>
    <w:rsid w:val="14453734"/>
    <w:rsid w:val="14AAE161"/>
    <w:rsid w:val="15629ADE"/>
    <w:rsid w:val="166835E9"/>
    <w:rsid w:val="17AF7818"/>
    <w:rsid w:val="1853B96D"/>
    <w:rsid w:val="187499F5"/>
    <w:rsid w:val="18CE5790"/>
    <w:rsid w:val="193C4FF2"/>
    <w:rsid w:val="1F1C7994"/>
    <w:rsid w:val="1F45869A"/>
    <w:rsid w:val="21F75CCB"/>
    <w:rsid w:val="22D70960"/>
    <w:rsid w:val="22E33238"/>
    <w:rsid w:val="22F7155D"/>
    <w:rsid w:val="239F4897"/>
    <w:rsid w:val="2550C8E5"/>
    <w:rsid w:val="25B4C81E"/>
    <w:rsid w:val="2670460A"/>
    <w:rsid w:val="27885D61"/>
    <w:rsid w:val="281D5CD5"/>
    <w:rsid w:val="2957B272"/>
    <w:rsid w:val="2AD5F19C"/>
    <w:rsid w:val="2B2BF091"/>
    <w:rsid w:val="2B312A0D"/>
    <w:rsid w:val="2CBD44B1"/>
    <w:rsid w:val="2CC86302"/>
    <w:rsid w:val="2D1A4E6A"/>
    <w:rsid w:val="2D6AC1A3"/>
    <w:rsid w:val="2D85C4F7"/>
    <w:rsid w:val="2E25EC97"/>
    <w:rsid w:val="2E6704D4"/>
    <w:rsid w:val="2FC2C78A"/>
    <w:rsid w:val="308C44B8"/>
    <w:rsid w:val="3430D7AC"/>
    <w:rsid w:val="34E1B9A6"/>
    <w:rsid w:val="36C2A9EF"/>
    <w:rsid w:val="372CA73D"/>
    <w:rsid w:val="38C8779E"/>
    <w:rsid w:val="3D82C064"/>
    <w:rsid w:val="3DB2B8B4"/>
    <w:rsid w:val="3DD52563"/>
    <w:rsid w:val="3EB798D9"/>
    <w:rsid w:val="404C68C4"/>
    <w:rsid w:val="4054DCEA"/>
    <w:rsid w:val="416937C2"/>
    <w:rsid w:val="4178ADC4"/>
    <w:rsid w:val="4235F180"/>
    <w:rsid w:val="42AEA487"/>
    <w:rsid w:val="42B5EBF8"/>
    <w:rsid w:val="4318799C"/>
    <w:rsid w:val="43A4A2C4"/>
    <w:rsid w:val="45358A85"/>
    <w:rsid w:val="461D5A65"/>
    <w:rsid w:val="47553F66"/>
    <w:rsid w:val="483E524C"/>
    <w:rsid w:val="4907759D"/>
    <w:rsid w:val="4A22AD01"/>
    <w:rsid w:val="4A394733"/>
    <w:rsid w:val="51008CFA"/>
    <w:rsid w:val="52FC5796"/>
    <w:rsid w:val="5346EFE7"/>
    <w:rsid w:val="545E9B0D"/>
    <w:rsid w:val="54E828B0"/>
    <w:rsid w:val="551F3DCC"/>
    <w:rsid w:val="587FD569"/>
    <w:rsid w:val="589F6CF6"/>
    <w:rsid w:val="5CCB8F50"/>
    <w:rsid w:val="5D06FA8A"/>
    <w:rsid w:val="5D829BF7"/>
    <w:rsid w:val="5DC1EC91"/>
    <w:rsid w:val="5DD7B15D"/>
    <w:rsid w:val="5E89A28E"/>
    <w:rsid w:val="5E9DB252"/>
    <w:rsid w:val="5EAC130E"/>
    <w:rsid w:val="5F2C9090"/>
    <w:rsid w:val="5F4BEAA3"/>
    <w:rsid w:val="601CE4CB"/>
    <w:rsid w:val="602A43DF"/>
    <w:rsid w:val="611E9E4A"/>
    <w:rsid w:val="62973525"/>
    <w:rsid w:val="63419944"/>
    <w:rsid w:val="63ABF547"/>
    <w:rsid w:val="6559EA57"/>
    <w:rsid w:val="669BA77F"/>
    <w:rsid w:val="676FF214"/>
    <w:rsid w:val="67BAA5F5"/>
    <w:rsid w:val="681A924C"/>
    <w:rsid w:val="6D0BE37D"/>
    <w:rsid w:val="6DFCCCCA"/>
    <w:rsid w:val="705CF49D"/>
    <w:rsid w:val="70D771F6"/>
    <w:rsid w:val="71F8C4FE"/>
    <w:rsid w:val="72CB2A0D"/>
    <w:rsid w:val="72F40442"/>
    <w:rsid w:val="730D2C9F"/>
    <w:rsid w:val="74459249"/>
    <w:rsid w:val="77B10F8F"/>
    <w:rsid w:val="77B40162"/>
    <w:rsid w:val="78D53F81"/>
    <w:rsid w:val="79A69E86"/>
    <w:rsid w:val="7B8D0014"/>
    <w:rsid w:val="7CA16F4D"/>
    <w:rsid w:val="7D520F51"/>
    <w:rsid w:val="7E496678"/>
    <w:rsid w:val="7F75D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0254"/>
  <w15:docId w15:val="{CEE9AB1F-3B77-4733-AE25-FBC7CE35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5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5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5A7"/>
  </w:style>
  <w:style w:type="paragraph" w:styleId="Stopka">
    <w:name w:val="footer"/>
    <w:basedOn w:val="Normalny"/>
    <w:link w:val="StopkaZnak"/>
    <w:uiPriority w:val="99"/>
    <w:unhideWhenUsed/>
    <w:rsid w:val="0043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5A7"/>
  </w:style>
  <w:style w:type="paragraph" w:customStyle="1" w:styleId="Default">
    <w:name w:val="Default"/>
    <w:rsid w:val="00DB185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aliases w:val="POZIOM 3"/>
    <w:basedOn w:val="Normalny"/>
    <w:next w:val="Normalny"/>
    <w:link w:val="TytuZnak"/>
    <w:uiPriority w:val="10"/>
    <w:qFormat/>
    <w:rsid w:val="008F0277"/>
    <w:pPr>
      <w:spacing w:after="0" w:line="360" w:lineRule="auto"/>
      <w:contextualSpacing/>
      <w:jc w:val="center"/>
    </w:pPr>
    <w:rPr>
      <w:rFonts w:eastAsiaTheme="majorEastAsia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aliases w:val="POZIOM 3 Znak"/>
    <w:basedOn w:val="Domylnaczcionkaakapitu"/>
    <w:link w:val="Tytu"/>
    <w:uiPriority w:val="10"/>
    <w:rsid w:val="008F0277"/>
    <w:rPr>
      <w:rFonts w:eastAsiaTheme="majorEastAsia" w:cstheme="majorBidi"/>
      <w:b/>
      <w:color w:val="000000" w:themeColor="text1"/>
      <w:spacing w:val="-10"/>
      <w:kern w:val="28"/>
      <w:sz w:val="24"/>
      <w:szCs w:val="56"/>
    </w:rPr>
  </w:style>
  <w:style w:type="paragraph" w:styleId="NormalnyWeb">
    <w:name w:val="Normal (Web)"/>
    <w:basedOn w:val="Normalny"/>
    <w:uiPriority w:val="99"/>
    <w:unhideWhenUsed/>
    <w:rsid w:val="003C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8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1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1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1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03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4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1730B47B0724391452A74F9985D74" ma:contentTypeVersion="4" ma:contentTypeDescription="Create a new document." ma:contentTypeScope="" ma:versionID="feab97b3154f23893627fff7d67dd906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f5f07b4029da73a1036a2d9600576646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899A613-5300-419F-8BA2-92CB5EC59CE0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c8f1d5c2-87e0-48a0-8b5d-c029c5836a0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4f49a39-0efd-4c33-97b7-646b1cd91d86"/>
  </ds:schemaRefs>
</ds:datastoreItem>
</file>

<file path=customXml/itemProps2.xml><?xml version="1.0" encoding="utf-8"?>
<ds:datastoreItem xmlns:ds="http://schemas.openxmlformats.org/officeDocument/2006/customXml" ds:itemID="{0AF260CD-6117-4E47-B400-B19BB127F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A578D-D695-4CAD-9FDB-9E420197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075EB1-AB00-4432-BCFB-C2F1733C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2398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f.kondracka</dc:creator>
  <cp:keywords/>
  <dc:description/>
  <cp:lastModifiedBy>Alicja Pyskło</cp:lastModifiedBy>
  <cp:revision>8</cp:revision>
  <cp:lastPrinted>2014-06-16T08:56:00Z</cp:lastPrinted>
  <dcterms:created xsi:type="dcterms:W3CDTF">2021-02-16T08:48:00Z</dcterms:created>
  <dcterms:modified xsi:type="dcterms:W3CDTF">2021-03-08T08:26:00Z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0x0101006D41730B47B0724391452A74F9985D74</vt:lpwstr>
  </property>
</Properties>
</file>