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line="276" w:lineRule="auto"/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 CONTRACT</w:t>
      </w:r>
    </w:p>
    <w:p>
      <w:pPr>
        <w:pStyle w:val="Default"/>
        <w:spacing w:line="276" w:lineRule="auto"/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concerning</w:t>
      </w:r>
      <w:r>
        <w:rPr>
          <w:b w:val="1"/>
          <w:bCs w:val="1"/>
          <w:sz w:val="22"/>
          <w:szCs w:val="22"/>
          <w:rtl w:val="0"/>
          <w:lang w:val="en-US"/>
        </w:rPr>
        <w:t xml:space="preserve"> conditions for payment for educational services at the University of Gda</w:t>
      </w:r>
      <w:r>
        <w:rPr>
          <w:b w:val="1"/>
          <w:bCs w:val="1"/>
          <w:sz w:val="22"/>
          <w:szCs w:val="22"/>
          <w:rtl w:val="0"/>
          <w:lang w:val="en-US"/>
        </w:rPr>
        <w:t>ń</w:t>
      </w:r>
      <w:r>
        <w:rPr>
          <w:b w:val="1"/>
          <w:bCs w:val="1"/>
          <w:sz w:val="22"/>
          <w:szCs w:val="22"/>
          <w:rtl w:val="0"/>
          <w:lang w:val="en-US"/>
        </w:rPr>
        <w:t>sk</w:t>
      </w:r>
    </w:p>
    <w:p>
      <w:pPr>
        <w:pStyle w:val="Default"/>
        <w:spacing w:line="276" w:lineRule="auto"/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rendered to non-Polish citizens admitted to postgraduate (non-degree) studies</w:t>
      </w:r>
    </w:p>
    <w:p>
      <w:pPr>
        <w:pStyle w:val="Default"/>
        <w:spacing w:line="276" w:lineRule="auto"/>
        <w:jc w:val="center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as fee-paying participants by decision of the Rector</w:t>
      </w:r>
    </w:p>
    <w:p>
      <w:pPr>
        <w:pStyle w:val="Default"/>
        <w:spacing w:line="276" w:lineRule="auto"/>
        <w:rPr>
          <w:sz w:val="22"/>
          <w:szCs w:val="22"/>
          <w:lang w:val="en-US"/>
        </w:rPr>
      </w:pPr>
    </w:p>
    <w:p>
      <w:pPr>
        <w:pStyle w:val="Default"/>
        <w:spacing w:line="276" w:lineRule="auto"/>
        <w:rPr>
          <w:sz w:val="22"/>
          <w:szCs w:val="22"/>
          <w:lang w:val="en-US"/>
        </w:rPr>
      </w:pPr>
    </w:p>
    <w:p>
      <w:pPr>
        <w:pStyle w:val="Heading 1"/>
        <w:spacing w:line="276" w:lineRule="auto"/>
        <w:ind w:left="0" w:firstLine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This Contract is entered into on </w:t>
      </w:r>
      <w:r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………………………………………… 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>(date), in Gda</w:t>
      </w:r>
      <w:r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ń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sk, between the 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>P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>arties:</w:t>
      </w:r>
    </w:p>
    <w:p>
      <w:pPr>
        <w:pStyle w:val="Heading 1"/>
        <w:spacing w:line="276" w:lineRule="auto"/>
        <w:ind w:left="0" w:firstLine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>Ms./Mrs./Mr.</w:t>
      </w:r>
      <w:r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……………………………………………………………………………………………………</w:t>
      </w:r>
    </w:p>
    <w:p>
      <w:pPr>
        <w:pStyle w:val="Heading 1"/>
        <w:spacing w:line="276" w:lineRule="auto"/>
        <w:ind w:left="0" w:firstLine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>details from identification document:</w:t>
      </w:r>
      <w:r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…………………………………………………………………………………</w:t>
      </w:r>
    </w:p>
    <w:p>
      <w:pPr>
        <w:pStyle w:val="Heading 1"/>
        <w:spacing w:line="276" w:lineRule="auto"/>
        <w:ind w:left="0" w:firstLine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>address for correspondence:</w:t>
      </w:r>
      <w:r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………………………………………………………………………………………………</w:t>
      </w:r>
    </w:p>
    <w:p>
      <w:pPr>
        <w:pStyle w:val="Heading 1"/>
        <w:spacing w:line="276" w:lineRule="auto"/>
        <w:ind w:lef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who enrolling in postgraduate (non-degree) course </w:t>
      </w:r>
      <w:r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…………………………………………………………………</w:t>
      </w:r>
    </w:p>
    <w:p>
      <w:pPr>
        <w:pStyle w:val="Text body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in the Faculty of</w:t>
      </w:r>
      <w:r>
        <w:rPr>
          <w:sz w:val="22"/>
          <w:szCs w:val="22"/>
          <w:rtl w:val="0"/>
          <w:lang w:val="en-US"/>
        </w:rPr>
        <w:t xml:space="preserve">……………………………………………………………………………………………………… </w:t>
      </w:r>
    </w:p>
    <w:p>
      <w:pPr>
        <w:pStyle w:val="Heading 1"/>
        <w:spacing w:line="276" w:lineRule="auto"/>
        <w:ind w:lef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>from academic year</w:t>
      </w:r>
      <w:r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………………………………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>, grade-book number</w:t>
      </w:r>
      <w:r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………………………………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, </w:t>
      </w:r>
    </w:p>
    <w:p>
      <w:pPr>
        <w:pStyle w:val="Heading 1"/>
        <w:spacing w:line="276" w:lineRule="auto"/>
        <w:ind w:left="0" w:firstLine="0"/>
        <w:jc w:val="both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lang w:val="en-US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>further referred to as the Participant, and the University of Gda</w:t>
      </w:r>
      <w:r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ń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sk, further referred to as the University, represented by: </w:t>
      </w:r>
      <w:r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……………………………………………………………… 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>who is authorized to make declarations on behalf of the University of Gda</w:t>
      </w:r>
      <w:r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ń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rtl w:val="0"/>
          <w:lang w:val="en-US"/>
        </w:rPr>
        <w:t>sk by the Rector.</w:t>
      </w:r>
    </w:p>
    <w:p>
      <w:pPr>
        <w:pStyle w:val="Default"/>
        <w:spacing w:line="276" w:lineRule="auto"/>
        <w:ind w:right="36"/>
        <w:jc w:val="center"/>
        <w:rPr>
          <w:b w:val="1"/>
          <w:bCs w:val="1"/>
          <w:color w:val="000000"/>
          <w:sz w:val="22"/>
          <w:szCs w:val="22"/>
          <w:u w:color="000000"/>
          <w:lang w:val="en-US"/>
        </w:rPr>
      </w:pPr>
    </w:p>
    <w:p>
      <w:pPr>
        <w:pStyle w:val="Default"/>
        <w:spacing w:line="276" w:lineRule="auto"/>
        <w:jc w:val="center"/>
        <w:rPr>
          <w:color w:val="000000"/>
          <w:sz w:val="22"/>
          <w:szCs w:val="22"/>
          <w:u w:color="00000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 xml:space="preserve">§ </w:t>
      </w:r>
      <w:r>
        <w:rPr>
          <w:color w:val="000000"/>
          <w:sz w:val="22"/>
          <w:szCs w:val="22"/>
          <w:u w:color="000000"/>
          <w:rtl w:val="0"/>
          <w:lang w:val="en-US"/>
        </w:rPr>
        <w:t>1</w:t>
      </w:r>
    </w:p>
    <w:p>
      <w:pPr>
        <w:pStyle w:val="Default"/>
        <w:spacing w:line="276" w:lineRule="auto"/>
        <w:jc w:val="both"/>
        <w:rPr>
          <w:color w:val="000000"/>
          <w:sz w:val="22"/>
          <w:szCs w:val="22"/>
          <w:u w:color="00000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The subject of this Contract is to set forth the conditions for collecting payment for educational services for the p</w:t>
      </w:r>
      <w:r>
        <w:rPr>
          <w:color w:val="00000a"/>
          <w:sz w:val="22"/>
          <w:szCs w:val="22"/>
          <w:u w:color="00000a"/>
          <w:rtl w:val="0"/>
          <w:lang w:val="en-US"/>
        </w:rPr>
        <w:t xml:space="preserve">ostgraduate (non-degree) studies 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…………………………………… 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conducted in the Faculty of 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…………………………………… 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in accordance with article 99 of the Law 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on </w:t>
      </w:r>
      <w:r>
        <w:rPr>
          <w:color w:val="000000"/>
          <w:sz w:val="22"/>
          <w:szCs w:val="22"/>
          <w:u w:color="000000"/>
          <w:rtl w:val="0"/>
          <w:lang w:val="en-US"/>
        </w:rPr>
        <w:t>Higher Education</w:t>
      </w:r>
      <w:r>
        <w:rPr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 July 27, 2005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(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Journal of Laws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color w:val="000000"/>
          <w:sz w:val="22"/>
          <w:szCs w:val="22"/>
          <w:u w:color="000000"/>
          <w:rtl w:val="0"/>
          <w:lang w:val="en-US"/>
        </w:rPr>
        <w:t>of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2012, 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item 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572 with amendments), </w:t>
      </w:r>
      <w:r>
        <w:rPr>
          <w:sz w:val="22"/>
          <w:szCs w:val="22"/>
          <w:rtl w:val="0"/>
          <w:lang w:val="en-US"/>
        </w:rPr>
        <w:t xml:space="preserve">further </w:t>
      </w:r>
      <w:r>
        <w:rPr>
          <w:color w:val="000000"/>
          <w:sz w:val="22"/>
          <w:szCs w:val="22"/>
          <w:u w:color="000000"/>
          <w:rtl w:val="0"/>
          <w:lang w:val="en-US"/>
        </w:rPr>
        <w:t>referred to as the Act.</w:t>
      </w:r>
    </w:p>
    <w:p>
      <w:pPr>
        <w:pStyle w:val="Default"/>
        <w:spacing w:line="276" w:lineRule="auto"/>
        <w:jc w:val="both"/>
        <w:rPr>
          <w:color w:val="000000"/>
          <w:sz w:val="22"/>
          <w:szCs w:val="22"/>
          <w:u w:color="000000"/>
          <w:lang w:val="en-US"/>
        </w:rPr>
      </w:pPr>
    </w:p>
    <w:p>
      <w:pPr>
        <w:pStyle w:val="Default"/>
        <w:tabs>
          <w:tab w:val="left" w:pos="411"/>
          <w:tab w:val="center" w:pos="4535"/>
        </w:tabs>
        <w:spacing w:line="276" w:lineRule="auto"/>
        <w:jc w:val="center"/>
        <w:rPr>
          <w:color w:val="000000"/>
          <w:sz w:val="22"/>
          <w:szCs w:val="22"/>
          <w:u w:color="00000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 xml:space="preserve">§ </w:t>
      </w:r>
      <w:r>
        <w:rPr>
          <w:color w:val="000000"/>
          <w:sz w:val="22"/>
          <w:szCs w:val="22"/>
          <w:u w:color="000000"/>
          <w:rtl w:val="0"/>
          <w:lang w:val="en-US"/>
        </w:rPr>
        <w:t>2</w:t>
      </w:r>
    </w:p>
    <w:p>
      <w:pPr>
        <w:pStyle w:val="Default"/>
        <w:numPr>
          <w:ilvl w:val="0"/>
          <w:numId w:val="2"/>
        </w:numPr>
        <w:bidi w:val="0"/>
        <w:spacing w:line="276" w:lineRule="auto"/>
        <w:ind w:right="0"/>
        <w:jc w:val="both"/>
        <w:rPr>
          <w:color w:val="000000"/>
          <w:sz w:val="22"/>
          <w:szCs w:val="22"/>
          <w:u w:color="000000"/>
          <w:rtl w:val="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The University declares that:</w:t>
      </w:r>
    </w:p>
    <w:p>
      <w:pPr>
        <w:pStyle w:val="Default"/>
        <w:numPr>
          <w:ilvl w:val="0"/>
          <w:numId w:val="4"/>
        </w:numPr>
        <w:bidi w:val="0"/>
        <w:spacing w:line="276" w:lineRule="auto"/>
        <w:ind w:right="0"/>
        <w:jc w:val="both"/>
        <w:rPr>
          <w:color w:val="000000"/>
          <w:sz w:val="22"/>
          <w:szCs w:val="22"/>
          <w:u w:color="000000"/>
          <w:rtl w:val="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it will conduct postgraduate (non-degree) studies...............................................................which is within a field of studies connected with at least one course of study offered at the University of Gda</w:t>
      </w:r>
      <w:r>
        <w:rPr>
          <w:color w:val="000000"/>
          <w:sz w:val="22"/>
          <w:szCs w:val="22"/>
          <w:u w:color="000000"/>
          <w:rtl w:val="0"/>
          <w:lang w:val="en-US"/>
        </w:rPr>
        <w:t>ń</w:t>
      </w:r>
      <w:r>
        <w:rPr>
          <w:color w:val="000000"/>
          <w:sz w:val="22"/>
          <w:szCs w:val="22"/>
          <w:u w:color="000000"/>
          <w:rtl w:val="0"/>
          <w:lang w:val="en-US"/>
        </w:rPr>
        <w:t>sk;</w:t>
      </w:r>
    </w:p>
    <w:p>
      <w:pPr>
        <w:pStyle w:val="Default"/>
        <w:numPr>
          <w:ilvl w:val="0"/>
          <w:numId w:val="4"/>
        </w:numPr>
        <w:bidi w:val="0"/>
        <w:spacing w:line="276" w:lineRule="auto"/>
        <w:ind w:right="0"/>
        <w:jc w:val="both"/>
        <w:rPr>
          <w:color w:val="000000"/>
          <w:sz w:val="22"/>
          <w:szCs w:val="22"/>
          <w:u w:color="000000"/>
          <w:rtl w:val="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it meets the conditions, including the personnel and material resources, necessary for conducting postgraduate (non-degree) studies..........................................................................................................;</w:t>
      </w:r>
    </w:p>
    <w:p>
      <w:pPr>
        <w:pStyle w:val="Default"/>
        <w:numPr>
          <w:ilvl w:val="0"/>
          <w:numId w:val="4"/>
        </w:numPr>
        <w:bidi w:val="0"/>
        <w:spacing w:line="276" w:lineRule="auto"/>
        <w:ind w:right="0"/>
        <w:jc w:val="both"/>
        <w:rPr>
          <w:color w:val="000000"/>
          <w:sz w:val="22"/>
          <w:szCs w:val="22"/>
          <w:u w:color="000000"/>
          <w:rtl w:val="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the organization and progression of the studies and the associated rights and obligations of the Participant are described in the R</w:t>
      </w:r>
      <w:r>
        <w:rPr>
          <w:color w:val="00000a"/>
          <w:sz w:val="22"/>
          <w:szCs w:val="22"/>
          <w:u w:color="00000a"/>
          <w:rtl w:val="0"/>
          <w:lang w:val="en-US"/>
        </w:rPr>
        <w:t>egulations for Postgraduate (Non-degree) Studies at the University of Gdansk</w:t>
      </w:r>
      <w:r>
        <w:rPr>
          <w:color w:val="000000"/>
          <w:sz w:val="22"/>
          <w:szCs w:val="22"/>
          <w:u w:color="000000"/>
          <w:rtl w:val="0"/>
          <w:lang w:val="en-US"/>
        </w:rPr>
        <w:t>.</w:t>
      </w:r>
    </w:p>
    <w:p>
      <w:pPr>
        <w:pStyle w:val="Default"/>
        <w:numPr>
          <w:ilvl w:val="0"/>
          <w:numId w:val="5"/>
        </w:numPr>
        <w:bidi w:val="0"/>
        <w:spacing w:line="276" w:lineRule="auto"/>
        <w:ind w:right="0"/>
        <w:jc w:val="both"/>
        <w:rPr>
          <w:color w:val="000000"/>
          <w:sz w:val="22"/>
          <w:szCs w:val="22"/>
          <w:u w:color="000000"/>
          <w:rtl w:val="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Additionally, the University declares the following:</w:t>
      </w:r>
    </w:p>
    <w:p>
      <w:pPr>
        <w:pStyle w:val="Default"/>
        <w:numPr>
          <w:ilvl w:val="1"/>
          <w:numId w:val="2"/>
        </w:numPr>
        <w:bidi w:val="0"/>
        <w:spacing w:line="276" w:lineRule="auto"/>
        <w:ind w:right="0"/>
        <w:jc w:val="both"/>
        <w:rPr>
          <w:color w:val="000000"/>
          <w:sz w:val="22"/>
          <w:szCs w:val="22"/>
          <w:u w:color="000000"/>
          <w:rtl w:val="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 xml:space="preserve">it will collect fees for educational services as described in article 99 section 1 </w:t>
      </w:r>
      <w:r>
        <w:rPr>
          <w:color w:val="000000"/>
          <w:sz w:val="22"/>
          <w:szCs w:val="22"/>
          <w:u w:color="000000"/>
          <w:rtl w:val="0"/>
          <w:lang w:val="en-US"/>
        </w:rPr>
        <w:t>subsection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5 of the Act and documents issued  in association with the progression of studies;</w:t>
      </w:r>
    </w:p>
    <w:p>
      <w:pPr>
        <w:pStyle w:val="Default"/>
        <w:numPr>
          <w:ilvl w:val="1"/>
          <w:numId w:val="6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the conditions of payment for university courses of study, educational services rendered by the University of Gda</w:t>
      </w:r>
      <w:r>
        <w:rPr>
          <w:color w:val="000000"/>
          <w:sz w:val="22"/>
          <w:szCs w:val="22"/>
          <w:u w:color="000000"/>
          <w:rtl w:val="0"/>
          <w:lang w:val="en-US"/>
        </w:rPr>
        <w:t>ń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sk, and the procedures and conditions for waiving such payments are regulated by </w:t>
      </w:r>
      <w:r>
        <w:rPr>
          <w:color w:val="00000a"/>
          <w:sz w:val="22"/>
          <w:szCs w:val="22"/>
          <w:u w:color="00000a"/>
          <w:rtl w:val="0"/>
          <w:lang w:val="en-US"/>
        </w:rPr>
        <w:t>University of Gdansk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Senate </w:t>
      </w:r>
      <w:r>
        <w:rPr>
          <w:color w:val="000000"/>
          <w:sz w:val="22"/>
          <w:szCs w:val="22"/>
          <w:u w:color="000000"/>
          <w:rtl w:val="0"/>
          <w:lang w:val="en-US"/>
        </w:rPr>
        <w:t>R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esolution, the text of which is available at the University Internet website </w:t>
      </w:r>
      <w:r>
        <w:rPr>
          <w:rStyle w:val="Hyperlink.0"/>
          <w:color w:val="000000"/>
          <w:sz w:val="22"/>
          <w:szCs w:val="22"/>
          <w:u w:val="single" w:color="000000"/>
          <w:lang w:val="en-US"/>
        </w:rPr>
        <w:fldChar w:fldCharType="begin" w:fldLock="0"/>
      </w:r>
      <w:r>
        <w:rPr>
          <w:rStyle w:val="Hyperlink.0"/>
          <w:color w:val="000000"/>
          <w:sz w:val="22"/>
          <w:szCs w:val="22"/>
          <w:u w:val="single" w:color="000000"/>
          <w:lang w:val="en-US"/>
        </w:rPr>
        <w:instrText xml:space="preserve"> HYPERLINK "http://www.ug.edu.pl/"</w:instrText>
      </w:r>
      <w:r>
        <w:rPr>
          <w:rStyle w:val="Hyperlink.0"/>
          <w:color w:val="000000"/>
          <w:sz w:val="22"/>
          <w:szCs w:val="22"/>
          <w:u w:val="single" w:color="000000"/>
          <w:lang w:val="en-US"/>
        </w:rPr>
        <w:fldChar w:fldCharType="separate" w:fldLock="0"/>
      </w:r>
      <w:r>
        <w:rPr>
          <w:rStyle w:val="Hyperlink.0"/>
          <w:color w:val="000000"/>
          <w:sz w:val="22"/>
          <w:szCs w:val="22"/>
          <w:u w:val="single" w:color="000000"/>
          <w:rtl w:val="0"/>
          <w:lang w:val="en-US"/>
        </w:rPr>
        <w:t>www.ug.edu.pl</w:t>
      </w:r>
      <w:r>
        <w:rPr>
          <w:sz w:val="22"/>
          <w:szCs w:val="22"/>
          <w:lang w:val="en-US"/>
        </w:rPr>
        <w:fldChar w:fldCharType="end" w:fldLock="0"/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;</w:t>
      </w:r>
    </w:p>
    <w:p>
      <w:pPr>
        <w:pStyle w:val="Default"/>
        <w:numPr>
          <w:ilvl w:val="1"/>
          <w:numId w:val="6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fees for educational services rendered as part of postgraduate (non-degree) studies and for issuing documents associated with the progression of such  studies are determined by the Rector of the University.</w:t>
      </w:r>
    </w:p>
    <w:p>
      <w:pPr>
        <w:pStyle w:val="Default"/>
        <w:spacing w:line="276" w:lineRule="auto"/>
        <w:jc w:val="center"/>
        <w:rPr>
          <w:rStyle w:val="None"/>
          <w:color w:val="000000"/>
          <w:sz w:val="22"/>
          <w:szCs w:val="22"/>
          <w:u w:color="000000"/>
          <w:lang w:val="en-US"/>
        </w:rPr>
      </w:pPr>
    </w:p>
    <w:p>
      <w:pPr>
        <w:pStyle w:val="Default"/>
        <w:spacing w:line="276" w:lineRule="auto"/>
        <w:jc w:val="center"/>
        <w:rPr>
          <w:rStyle w:val="None"/>
          <w:color w:val="000000"/>
          <w:sz w:val="22"/>
          <w:szCs w:val="22"/>
          <w:u w:color="00000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§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3</w:t>
      </w:r>
    </w:p>
    <w:p>
      <w:pPr>
        <w:pStyle w:val="Default"/>
        <w:numPr>
          <w:ilvl w:val="0"/>
          <w:numId w:val="8"/>
        </w:numPr>
        <w:bidi w:val="0"/>
        <w:spacing w:line="276" w:lineRule="auto"/>
        <w:ind w:right="0"/>
        <w:jc w:val="both"/>
        <w:rPr>
          <w:rStyle w:val="None"/>
          <w:color w:val="00000a"/>
          <w:sz w:val="22"/>
          <w:szCs w:val="22"/>
          <w:u w:color="00000a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The University declares it will:</w:t>
      </w:r>
    </w:p>
    <w:p>
      <w:pPr>
        <w:pStyle w:val="Default"/>
        <w:numPr>
          <w:ilvl w:val="1"/>
          <w:numId w:val="8"/>
        </w:numPr>
        <w:bidi w:val="0"/>
        <w:spacing w:line="276" w:lineRule="auto"/>
        <w:ind w:right="0"/>
        <w:jc w:val="both"/>
        <w:rPr>
          <w:rStyle w:val="None"/>
          <w:color w:val="00000a"/>
          <w:sz w:val="22"/>
          <w:szCs w:val="22"/>
          <w:u w:color="00000a"/>
          <w:rtl w:val="0"/>
          <w:lang w:val="en-US"/>
        </w:rPr>
      </w:pPr>
      <w:r>
        <w:rPr>
          <w:rStyle w:val="None"/>
          <w:color w:val="00000a"/>
          <w:sz w:val="22"/>
          <w:szCs w:val="22"/>
          <w:u w:color="00000a"/>
          <w:rtl w:val="0"/>
          <w:lang w:val="en-US"/>
        </w:rPr>
        <w:t>ensure that classes are conducted by academic teachers or by other persons who possess appropriate qualifications to teach in the field of the postgraduate (non-degree) studies being conducted;</w:t>
      </w:r>
    </w:p>
    <w:p>
      <w:pPr>
        <w:pStyle w:val="Default"/>
        <w:numPr>
          <w:ilvl w:val="1"/>
          <w:numId w:val="8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a"/>
          <w:sz w:val="22"/>
          <w:szCs w:val="22"/>
          <w:u w:color="00000a"/>
          <w:rtl w:val="0"/>
          <w:lang w:val="en-US"/>
        </w:rPr>
        <w:t>ensure the facilities necessary for the proper implementation of the educational program of the postgraduate (non-degree) studies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;</w:t>
      </w:r>
    </w:p>
    <w:p>
      <w:pPr>
        <w:pStyle w:val="Default"/>
        <w:numPr>
          <w:ilvl w:val="1"/>
          <w:numId w:val="8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issue the Participant a </w:t>
      </w:r>
      <w:r>
        <w:rPr>
          <w:rStyle w:val="None"/>
          <w:color w:val="00000a"/>
          <w:sz w:val="22"/>
          <w:szCs w:val="22"/>
          <w:u w:color="00000a"/>
          <w:rtl w:val="0"/>
          <w:lang w:val="en-US"/>
        </w:rPr>
        <w:t>certificate of completion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upon completion of the postgraduate (non-degree) studies;</w:t>
      </w:r>
    </w:p>
    <w:p>
      <w:pPr>
        <w:pStyle w:val="Default"/>
        <w:numPr>
          <w:ilvl w:val="1"/>
          <w:numId w:val="8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maintain Participant's rights as envisaged in the R</w:t>
      </w:r>
      <w:r>
        <w:rPr>
          <w:rStyle w:val="None"/>
          <w:color w:val="00000a"/>
          <w:sz w:val="22"/>
          <w:szCs w:val="22"/>
          <w:u w:color="00000a"/>
          <w:rtl w:val="0"/>
          <w:lang w:val="en-US"/>
        </w:rPr>
        <w:t>egulations for Postgraduate (Non-degree) Studies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.</w:t>
      </w:r>
    </w:p>
    <w:p>
      <w:pPr>
        <w:pStyle w:val="Default"/>
        <w:numPr>
          <w:ilvl w:val="0"/>
          <w:numId w:val="8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The Participant declares he/she will:</w:t>
      </w:r>
    </w:p>
    <w:p>
      <w:pPr>
        <w:pStyle w:val="Default"/>
        <w:numPr>
          <w:ilvl w:val="1"/>
          <w:numId w:val="9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participate in classes as set forth in the studies plan and pass the required classes and examinations;</w:t>
      </w:r>
    </w:p>
    <w:p>
      <w:pPr>
        <w:pStyle w:val="Default"/>
        <w:numPr>
          <w:ilvl w:val="1"/>
          <w:numId w:val="9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meet all obligations imposed upon him/her by the the R</w:t>
      </w:r>
      <w:r>
        <w:rPr>
          <w:rStyle w:val="None"/>
          <w:color w:val="00000a"/>
          <w:sz w:val="22"/>
          <w:szCs w:val="22"/>
          <w:u w:color="00000a"/>
          <w:rtl w:val="0"/>
          <w:lang w:val="en-US"/>
        </w:rPr>
        <w:t>egulations for Postgraduate (Non-degree) Studies and internal regulations of the University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;</w:t>
      </w:r>
    </w:p>
    <w:p>
      <w:pPr>
        <w:pStyle w:val="Default"/>
        <w:numPr>
          <w:ilvl w:val="1"/>
          <w:numId w:val="9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pay for educational services rendered for postgraduate (non-degree) studies in a timely manner.</w:t>
      </w:r>
    </w:p>
    <w:p>
      <w:pPr>
        <w:pStyle w:val="Default"/>
        <w:spacing w:line="276" w:lineRule="auto"/>
        <w:jc w:val="center"/>
        <w:rPr>
          <w:rStyle w:val="None"/>
          <w:color w:val="000000"/>
          <w:sz w:val="22"/>
          <w:szCs w:val="22"/>
          <w:u w:color="000000"/>
          <w:lang w:val="en-US"/>
        </w:rPr>
      </w:pPr>
    </w:p>
    <w:p>
      <w:pPr>
        <w:pStyle w:val="Default"/>
        <w:spacing w:line="276" w:lineRule="auto"/>
        <w:jc w:val="center"/>
        <w:rPr>
          <w:rStyle w:val="None"/>
          <w:color w:val="000000"/>
          <w:sz w:val="22"/>
          <w:szCs w:val="22"/>
          <w:u w:color="00000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§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4</w:t>
      </w:r>
    </w:p>
    <w:p>
      <w:pPr>
        <w:pStyle w:val="Default"/>
        <w:spacing w:line="276" w:lineRule="auto"/>
        <w:jc w:val="center"/>
        <w:rPr>
          <w:rStyle w:val="None"/>
          <w:color w:val="000000"/>
          <w:sz w:val="22"/>
          <w:szCs w:val="22"/>
          <w:u w:color="000000"/>
          <w:lang w:val="en-US"/>
        </w:rPr>
      </w:pPr>
    </w:p>
    <w:p>
      <w:pPr>
        <w:pStyle w:val="Default"/>
        <w:numPr>
          <w:ilvl w:val="0"/>
          <w:numId w:val="11"/>
        </w:numPr>
        <w:bidi w:val="0"/>
        <w:spacing w:line="276" w:lineRule="auto"/>
        <w:ind w:right="0"/>
        <w:jc w:val="left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The Participant who begins Postgraduate (Non-degree) Studies  ......................................................................... in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the 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……………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academic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i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s required to pay fees for educational services in the following amount ..................... </w:t>
      </w:r>
    </w:p>
    <w:p>
      <w:pPr>
        <w:pStyle w:val="Default"/>
        <w:numPr>
          <w:ilvl w:val="0"/>
          <w:numId w:val="14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The initial payment in the amount of .................... paid by the Participant during recruitment is applied to the total fee for educational services for the postgraduate (non-degree) studies mentioned above.</w:t>
      </w:r>
    </w:p>
    <w:p>
      <w:pPr>
        <w:pStyle w:val="Akapit z listą"/>
        <w:spacing w:line="276" w:lineRule="auto"/>
        <w:ind w:left="360" w:firstLine="0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Fees for educational services are payable to the following account:</w:t>
      </w:r>
      <w:r>
        <w:rPr>
          <w:rStyle w:val="None"/>
          <w:sz w:val="22"/>
          <w:szCs w:val="22"/>
          <w:rtl w:val="0"/>
          <w:lang w:val="en-US"/>
        </w:rPr>
        <w:t xml:space="preserve"> </w:t>
      </w:r>
    </w:p>
    <w:p>
      <w:pPr>
        <w:pStyle w:val="List Paragraph"/>
        <w:spacing w:line="276" w:lineRule="auto"/>
        <w:ind w:left="360" w:firstLine="0"/>
        <w:jc w:val="both"/>
        <w:rPr>
          <w:rStyle w:val="None"/>
          <w:color w:val="000000"/>
          <w:sz w:val="22"/>
          <w:szCs w:val="22"/>
          <w:u w:color="00000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Bank PeKaO SA, UNIWERSYTET GDA</w:t>
      </w:r>
      <w:r>
        <w:rPr>
          <w:rStyle w:val="None"/>
          <w:sz w:val="22"/>
          <w:szCs w:val="22"/>
          <w:rtl w:val="0"/>
          <w:lang w:val="en-US"/>
        </w:rPr>
        <w:t>Ń</w:t>
      </w:r>
      <w:r>
        <w:rPr>
          <w:rStyle w:val="None"/>
          <w:sz w:val="22"/>
          <w:szCs w:val="22"/>
          <w:rtl w:val="0"/>
          <w:lang w:val="en-US"/>
        </w:rPr>
        <w:t>SKI, ul.</w:t>
      </w:r>
      <w:r>
        <w:rPr>
          <w:rStyle w:val="None"/>
          <w:sz w:val="22"/>
          <w:szCs w:val="22"/>
          <w:rtl w:val="0"/>
          <w:lang w:val="en-US"/>
        </w:rPr>
        <w:t> </w:t>
      </w:r>
      <w:r>
        <w:rPr>
          <w:rStyle w:val="None"/>
          <w:sz w:val="22"/>
          <w:szCs w:val="22"/>
          <w:rtl w:val="0"/>
          <w:lang w:val="en-US"/>
        </w:rPr>
        <w:t>Ba</w:t>
      </w:r>
      <w:r>
        <w:rPr>
          <w:rStyle w:val="None"/>
          <w:sz w:val="22"/>
          <w:szCs w:val="22"/>
          <w:rtl w:val="0"/>
          <w:lang w:val="en-US"/>
        </w:rPr>
        <w:t>ż</w:t>
      </w:r>
      <w:r>
        <w:rPr>
          <w:rStyle w:val="None"/>
          <w:sz w:val="22"/>
          <w:szCs w:val="22"/>
          <w:rtl w:val="0"/>
          <w:lang w:val="en-US"/>
        </w:rPr>
        <w:t>y</w:t>
      </w:r>
      <w:r>
        <w:rPr>
          <w:rStyle w:val="None"/>
          <w:sz w:val="22"/>
          <w:szCs w:val="22"/>
          <w:rtl w:val="0"/>
          <w:lang w:val="en-US"/>
        </w:rPr>
        <w:t>ń</w:t>
      </w:r>
      <w:r>
        <w:rPr>
          <w:rStyle w:val="None"/>
          <w:sz w:val="22"/>
          <w:szCs w:val="22"/>
          <w:rtl w:val="0"/>
          <w:lang w:val="en-US"/>
        </w:rPr>
        <w:t>skiego 1A, 80-952 Gda</w:t>
      </w:r>
      <w:r>
        <w:rPr>
          <w:rStyle w:val="None"/>
          <w:sz w:val="22"/>
          <w:szCs w:val="22"/>
          <w:rtl w:val="0"/>
          <w:lang w:val="en-US"/>
        </w:rPr>
        <w:t>ń</w:t>
      </w:r>
      <w:r>
        <w:rPr>
          <w:rStyle w:val="None"/>
          <w:sz w:val="22"/>
          <w:szCs w:val="22"/>
          <w:rtl w:val="0"/>
          <w:lang w:val="en-US"/>
        </w:rPr>
        <w:t>sk, Polska, Account Number: PL21 12401271 1978 0010 2377 8417, SWIFT CODE/ BIC CODE: PKO PPL PW, Bank sort code</w:t>
      </w:r>
      <w:r>
        <w:rPr>
          <w:rStyle w:val="None"/>
          <w:rFonts w:ascii="MS Mincho" w:cs="MS Mincho" w:hAnsi="MS Mincho" w:eastAsia="MS Mincho"/>
          <w:sz w:val="22"/>
          <w:szCs w:val="22"/>
          <w:rtl w:val="0"/>
          <w:lang w:val="en-US"/>
        </w:rPr>
        <w:t xml:space="preserve">: </w:t>
      </w:r>
      <w:r>
        <w:rPr>
          <w:rStyle w:val="None"/>
          <w:sz w:val="22"/>
          <w:szCs w:val="22"/>
          <w:rtl w:val="0"/>
          <w:lang w:val="en-US"/>
        </w:rPr>
        <w:t>12401271 and specifying the name and surname of the Participant, the name of the Faculty, the course of study, and the academic year.</w:t>
      </w:r>
    </w:p>
    <w:p>
      <w:pPr>
        <w:pStyle w:val="Akapit z listą"/>
        <w:numPr>
          <w:ilvl w:val="0"/>
          <w:numId w:val="13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In the first year of study, the fees referred to in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section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1 are increased by the equivalent of 200 euros, regardless of how many postgraduate (non-degree) study courses are undertaken.</w:t>
      </w:r>
    </w:p>
    <w:p>
      <w:pPr>
        <w:pStyle w:val="Default"/>
        <w:numPr>
          <w:ilvl w:val="0"/>
          <w:numId w:val="13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If the fees for educational services are not paid by the date they are due, the director of the postgraduate (non-degree) studies has the right to remove the Participant from the list of participants.</w:t>
      </w:r>
    </w:p>
    <w:p>
      <w:pPr>
        <w:pStyle w:val="Default"/>
        <w:numPr>
          <w:ilvl w:val="0"/>
          <w:numId w:val="13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In justified cases, specifically those arising from difficult material circumstances or health-related reasons,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oon a written request from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the Participant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submitted in writing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no later than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seven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days following the beginning of classes, it is possible to decrease the fees mentioned in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section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1. The final decision in this matter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is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made by the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Pror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ector for Educational Affairs based on the opinion of the director of the postgraduate (non-degree) studies.</w:t>
      </w:r>
    </w:p>
    <w:p>
      <w:pPr>
        <w:pStyle w:val="Default"/>
        <w:spacing w:line="276" w:lineRule="auto"/>
        <w:jc w:val="both"/>
        <w:rPr>
          <w:rStyle w:val="None"/>
          <w:color w:val="000000"/>
          <w:sz w:val="22"/>
          <w:szCs w:val="22"/>
          <w:u w:color="000000"/>
          <w:lang w:val="en-US"/>
        </w:rPr>
      </w:pPr>
    </w:p>
    <w:p>
      <w:pPr>
        <w:pStyle w:val="Default"/>
        <w:spacing w:line="276" w:lineRule="auto"/>
        <w:jc w:val="center"/>
        <w:rPr>
          <w:rStyle w:val="None"/>
          <w:color w:val="000000"/>
          <w:sz w:val="22"/>
          <w:szCs w:val="22"/>
          <w:u w:color="00000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§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5</w:t>
      </w:r>
    </w:p>
    <w:p>
      <w:pPr>
        <w:pStyle w:val="Default"/>
        <w:spacing w:line="276" w:lineRule="auto"/>
        <w:jc w:val="both"/>
        <w:rPr>
          <w:rStyle w:val="None"/>
          <w:color w:val="000000"/>
          <w:sz w:val="22"/>
          <w:szCs w:val="22"/>
          <w:u w:color="00000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Regardless of the fees mentioned in </w:t>
      </w:r>
      <w:r>
        <w:rPr>
          <w:rStyle w:val="None"/>
          <w:sz w:val="22"/>
          <w:szCs w:val="22"/>
          <w:rtl w:val="0"/>
          <w:lang w:val="en-US"/>
        </w:rPr>
        <w:t xml:space="preserve">§ </w:t>
      </w:r>
      <w:r>
        <w:rPr>
          <w:rStyle w:val="None"/>
          <w:sz w:val="22"/>
          <w:szCs w:val="22"/>
          <w:rtl w:val="0"/>
          <w:lang w:val="en-US"/>
        </w:rPr>
        <w:t>4 section 1,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the Participant is obliged to pay fees set forth in the executive ordinance of the Act, specifically for the issue of a certificate of completion of postgraduate (non-degree) studies.</w:t>
      </w:r>
    </w:p>
    <w:p>
      <w:pPr>
        <w:pStyle w:val="Default"/>
        <w:spacing w:line="276" w:lineRule="auto"/>
        <w:rPr>
          <w:rStyle w:val="None"/>
          <w:color w:val="000000"/>
          <w:sz w:val="22"/>
          <w:szCs w:val="22"/>
          <w:u w:color="000000"/>
          <w:lang w:val="en-US"/>
        </w:rPr>
      </w:pPr>
    </w:p>
    <w:p>
      <w:pPr>
        <w:pStyle w:val="Default"/>
        <w:spacing w:line="276" w:lineRule="auto"/>
        <w:jc w:val="center"/>
        <w:rPr>
          <w:rStyle w:val="None"/>
          <w:sz w:val="22"/>
          <w:szCs w:val="22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§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6</w:t>
      </w:r>
    </w:p>
    <w:p>
      <w:pPr>
        <w:pStyle w:val="Default"/>
        <w:spacing w:line="276" w:lineRule="auto"/>
        <w:rPr>
          <w:sz w:val="22"/>
          <w:szCs w:val="22"/>
          <w:lang w:val="en-US"/>
        </w:rPr>
      </w:pPr>
    </w:p>
    <w:p>
      <w:pPr>
        <w:pStyle w:val="Default"/>
        <w:spacing w:line="276" w:lineRule="auto"/>
        <w:ind w:left="14" w:firstLine="0"/>
        <w:jc w:val="both"/>
        <w:rPr>
          <w:rStyle w:val="None"/>
          <w:color w:val="000000"/>
          <w:sz w:val="22"/>
          <w:szCs w:val="22"/>
          <w:u w:color="00000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1. </w:t>
        <w:tab/>
        <w:t xml:space="preserve">Fees paid for university courses of study are non-refundable, except in situations set forth in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§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18 section 6 of the regulation of the Minis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ter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of Science and Higher Education of October 12, 2006 on undertaking and completing by non-Polish citizens university courses of study and training and their participation in scientific research and development projects (</w:t>
      </w:r>
      <w:r>
        <w:rPr>
          <w:rStyle w:val="None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Journal of Laws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No. 190, item 1406 with amendments)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,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Style w:val="None"/>
          <w:sz w:val="22"/>
          <w:szCs w:val="22"/>
          <w:rtl w:val="0"/>
          <w:lang w:val="en-US"/>
        </w:rPr>
        <w:t>with the exception of</w:t>
      </w:r>
      <w:r>
        <w:rPr>
          <w:rStyle w:val="None"/>
          <w:sz w:val="22"/>
          <w:szCs w:val="22"/>
          <w:rtl w:val="0"/>
          <w:lang w:val="en-US"/>
        </w:rPr>
        <w:t xml:space="preserve"> fees paid for the first year of stud</w:t>
      </w:r>
      <w:r>
        <w:rPr>
          <w:rStyle w:val="None"/>
          <w:sz w:val="22"/>
          <w:szCs w:val="22"/>
          <w:rtl w:val="0"/>
          <w:lang w:val="en-US"/>
        </w:rPr>
        <w:t>y which</w:t>
      </w:r>
      <w:r>
        <w:rPr>
          <w:rStyle w:val="None"/>
          <w:sz w:val="22"/>
          <w:szCs w:val="22"/>
          <w:rtl w:val="0"/>
          <w:lang w:val="en-US"/>
        </w:rPr>
        <w:t xml:space="preserve"> are refunded minus the equivalent of 200 euros.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spacing w:line="276" w:lineRule="auto"/>
        <w:jc w:val="center"/>
        <w:rPr>
          <w:rStyle w:val="None"/>
          <w:color w:val="000000"/>
          <w:sz w:val="22"/>
          <w:szCs w:val="22"/>
          <w:u w:color="000000"/>
          <w:lang w:val="en-US"/>
        </w:rPr>
      </w:pPr>
    </w:p>
    <w:p>
      <w:pPr>
        <w:pStyle w:val="Default"/>
        <w:spacing w:line="276" w:lineRule="auto"/>
        <w:jc w:val="center"/>
        <w:rPr>
          <w:rStyle w:val="None"/>
          <w:sz w:val="22"/>
          <w:szCs w:val="22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§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7</w:t>
      </w:r>
    </w:p>
    <w:p>
      <w:pPr>
        <w:pStyle w:val="Default"/>
        <w:numPr>
          <w:ilvl w:val="0"/>
          <w:numId w:val="16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This Contract is entered into for the duration of a given postgraduate (non-degree) course of study, which is for the period of </w:t>
      </w:r>
      <w:r>
        <w:rPr>
          <w:rStyle w:val="None"/>
          <w:sz w:val="22"/>
          <w:szCs w:val="22"/>
          <w:rtl w:val="0"/>
          <w:lang w:val="en-US"/>
        </w:rPr>
        <w:t>……</w:t>
      </w:r>
      <w:r>
        <w:rPr>
          <w:rStyle w:val="None"/>
          <w:sz w:val="22"/>
          <w:szCs w:val="22"/>
          <w:rtl w:val="0"/>
          <w:lang w:val="en-US"/>
        </w:rPr>
        <w:t xml:space="preserve">.. semesters. </w:t>
      </w:r>
    </w:p>
    <w:p>
      <w:pPr>
        <w:pStyle w:val="Default"/>
        <w:numPr>
          <w:ilvl w:val="0"/>
          <w:numId w:val="17"/>
        </w:numPr>
        <w:bidi w:val="0"/>
        <w:spacing w:line="276" w:lineRule="auto"/>
        <w:ind w:right="0"/>
        <w:jc w:val="both"/>
        <w:rPr>
          <w:rStyle w:val="None"/>
          <w:sz w:val="22"/>
          <w:szCs w:val="22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This contract will terminate prior to the conclusion of the course referred to in section 1 if:</w:t>
      </w:r>
    </w:p>
    <w:p>
      <w:pPr>
        <w:pStyle w:val="Default"/>
        <w:spacing w:line="276" w:lineRule="auto"/>
        <w:ind w:left="709" w:hanging="380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1) the decision to remove the Participant from the list of participants is final;</w:t>
      </w:r>
    </w:p>
    <w:p>
      <w:pPr>
        <w:pStyle w:val="Default"/>
        <w:spacing w:line="276" w:lineRule="auto"/>
        <w:ind w:left="709" w:hanging="380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2)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the Participant submits written notice of withdrawal from his/her course of study.</w:t>
      </w:r>
    </w:p>
    <w:p>
      <w:pPr>
        <w:pStyle w:val="Default"/>
        <w:numPr>
          <w:ilvl w:val="0"/>
          <w:numId w:val="17"/>
        </w:numPr>
        <w:bidi w:val="0"/>
        <w:spacing w:line="276" w:lineRule="auto"/>
        <w:ind w:right="0"/>
        <w:jc w:val="left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This contract is terminated upon the Participant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conclusion of the postgraduate (non-degree) course of study.</w:t>
      </w:r>
    </w:p>
    <w:p>
      <w:pPr>
        <w:pStyle w:val="Default"/>
        <w:spacing w:line="276" w:lineRule="auto"/>
        <w:rPr>
          <w:rStyle w:val="None"/>
          <w:color w:val="000000"/>
          <w:sz w:val="22"/>
          <w:szCs w:val="22"/>
          <w:u w:color="000000"/>
          <w:lang w:val="en-US"/>
        </w:rPr>
      </w:pPr>
    </w:p>
    <w:p>
      <w:pPr>
        <w:pStyle w:val="Default"/>
        <w:spacing w:line="276" w:lineRule="auto"/>
        <w:jc w:val="center"/>
        <w:rPr>
          <w:rStyle w:val="None"/>
          <w:color w:val="000000"/>
          <w:sz w:val="22"/>
          <w:szCs w:val="22"/>
          <w:u w:color="00000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§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8</w:t>
      </w:r>
    </w:p>
    <w:p>
      <w:pPr>
        <w:pStyle w:val="Default"/>
        <w:spacing w:line="276" w:lineRule="auto"/>
        <w:jc w:val="both"/>
        <w:rPr>
          <w:rStyle w:val="None"/>
          <w:color w:val="000000"/>
          <w:sz w:val="22"/>
          <w:szCs w:val="22"/>
          <w:u w:color="00000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The Parties to the Contract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can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terminate it at any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time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. Termination of the Contract must be made in writing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under pain of nullity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. Termination of the Contract by the Participant is tantamount to withdrawal from the the postgraduate (non-degree) course of study.</w:t>
      </w:r>
    </w:p>
    <w:p>
      <w:pPr>
        <w:pStyle w:val="Default"/>
        <w:spacing w:line="276" w:lineRule="auto"/>
        <w:jc w:val="center"/>
        <w:rPr>
          <w:rStyle w:val="None"/>
          <w:color w:val="000000"/>
          <w:sz w:val="22"/>
          <w:szCs w:val="22"/>
          <w:u w:color="000000"/>
          <w:lang w:val="en-US"/>
        </w:rPr>
      </w:pPr>
    </w:p>
    <w:p>
      <w:pPr>
        <w:pStyle w:val="Default"/>
        <w:spacing w:line="276" w:lineRule="auto"/>
        <w:jc w:val="both"/>
        <w:rPr>
          <w:rStyle w:val="None"/>
          <w:color w:val="000000"/>
          <w:sz w:val="22"/>
          <w:szCs w:val="22"/>
          <w:u w:color="000000"/>
          <w:lang w:val="en-US"/>
        </w:rPr>
      </w:pPr>
    </w:p>
    <w:p>
      <w:pPr>
        <w:pStyle w:val="Default"/>
        <w:spacing w:line="276" w:lineRule="auto"/>
        <w:jc w:val="center"/>
        <w:rPr>
          <w:rStyle w:val="None"/>
          <w:sz w:val="22"/>
          <w:szCs w:val="22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§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9</w:t>
      </w:r>
    </w:p>
    <w:p>
      <w:pPr>
        <w:pStyle w:val="Default"/>
        <w:numPr>
          <w:ilvl w:val="0"/>
          <w:numId w:val="19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Any matters not addressed in this Contract are subject to the regulations in the Act and the executive ordinances of the Act and the regulations of the Civil Code. </w:t>
      </w:r>
    </w:p>
    <w:p>
      <w:pPr>
        <w:pStyle w:val="Default"/>
        <w:numPr>
          <w:ilvl w:val="0"/>
          <w:numId w:val="19"/>
        </w:numPr>
        <w:bidi w:val="0"/>
        <w:spacing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The Parties will seek to resolve amicably any conflict arising from this Contract. If it is impossible to reach a compromise, the case will be heard by the court of general jurisdiction in Gda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ń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sk.</w:t>
      </w:r>
    </w:p>
    <w:p>
      <w:pPr>
        <w:pStyle w:val="Default"/>
        <w:numPr>
          <w:ilvl w:val="0"/>
          <w:numId w:val="19"/>
        </w:numPr>
        <w:spacing w:line="276" w:lineRule="auto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This Contract has been drawn up in two identical copies, one for each Party to this Contract.</w:t>
      </w:r>
    </w:p>
    <w:p>
      <w:pPr>
        <w:pStyle w:val="Default"/>
        <w:spacing w:line="276" w:lineRule="auto"/>
        <w:jc w:val="both"/>
        <w:rPr>
          <w:lang w:val="en-US"/>
        </w:rPr>
      </w:pPr>
    </w:p>
    <w:p>
      <w:pPr>
        <w:pStyle w:val="Default"/>
        <w:spacing w:line="276" w:lineRule="auto"/>
        <w:rPr>
          <w:rStyle w:val="None"/>
          <w:color w:val="000000"/>
          <w:sz w:val="22"/>
          <w:szCs w:val="22"/>
          <w:u w:color="000000"/>
          <w:lang w:val="en-US"/>
        </w:rPr>
      </w:pPr>
    </w:p>
    <w:tbl>
      <w:tblPr>
        <w:tblW w:w="94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26"/>
        <w:gridCol w:w="442"/>
        <w:gridCol w:w="4522"/>
      </w:tblGrid>
      <w:tr>
        <w:tblPrEx>
          <w:shd w:val="clear" w:color="auto" w:fill="ced7e7"/>
        </w:tblPrEx>
        <w:trPr>
          <w:trHeight w:val="1878" w:hRule="atLeast"/>
        </w:trPr>
        <w:tc>
          <w:tcPr>
            <w:tcW w:type="dxa" w:w="4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  <w:rPr>
                <w:rStyle w:val="None"/>
                <w:lang w:val="en-US"/>
              </w:rPr>
            </w:pPr>
          </w:p>
          <w:p>
            <w:pPr>
              <w:pStyle w:val="Default"/>
              <w:bidi w:val="0"/>
              <w:spacing w:line="276" w:lineRule="auto"/>
              <w:ind w:left="0" w:right="0" w:firstLine="0"/>
              <w:jc w:val="center"/>
              <w:rPr>
                <w:rStyle w:val="None"/>
                <w:sz w:val="22"/>
                <w:szCs w:val="22"/>
                <w:rtl w:val="0"/>
              </w:rPr>
            </w:pPr>
            <w:r>
              <w:rPr>
                <w:rStyle w:val="None"/>
                <w:sz w:val="22"/>
                <w:szCs w:val="22"/>
                <w:rtl w:val="0"/>
                <w:lang w:val="en-US"/>
              </w:rPr>
              <w:t>Participant</w:t>
            </w:r>
          </w:p>
          <w:p>
            <w:pPr>
              <w:pStyle w:val="Default"/>
              <w:spacing w:line="276" w:lineRule="auto"/>
              <w:jc w:val="center"/>
              <w:rPr>
                <w:rStyle w:val="None"/>
                <w:sz w:val="22"/>
                <w:szCs w:val="22"/>
                <w:lang w:val="en-US"/>
              </w:rPr>
            </w:pPr>
          </w:p>
          <w:p>
            <w:pPr>
              <w:pStyle w:val="Default"/>
              <w:spacing w:line="276" w:lineRule="auto"/>
              <w:jc w:val="center"/>
              <w:rPr>
                <w:rStyle w:val="None"/>
                <w:sz w:val="22"/>
                <w:szCs w:val="22"/>
                <w:lang w:val="en-US"/>
              </w:rPr>
            </w:pPr>
          </w:p>
          <w:p>
            <w:pPr>
              <w:pStyle w:val="Default"/>
              <w:bidi w:val="0"/>
              <w:spacing w:line="276" w:lineRule="auto"/>
              <w:ind w:left="0" w:right="0" w:firstLine="0"/>
              <w:jc w:val="center"/>
              <w:rPr>
                <w:rStyle w:val="None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Style w:val="None"/>
                <w:i w:val="0"/>
                <w:iCs w:val="0"/>
                <w:sz w:val="22"/>
                <w:szCs w:val="22"/>
                <w:rtl w:val="0"/>
                <w:lang w:val="en-US"/>
              </w:rPr>
              <w:t>……………………………………………</w:t>
            </w:r>
          </w:p>
          <w:p>
            <w:pPr>
              <w:pStyle w:val="Default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22"/>
                <w:szCs w:val="22"/>
                <w:rtl w:val="0"/>
                <w:lang w:val="en-US"/>
              </w:rPr>
              <w:t>(legible signature)</w:t>
            </w:r>
          </w:p>
        </w:tc>
        <w:tc>
          <w:tcPr>
            <w:tcW w:type="dxa" w:w="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  <w:jc w:val="center"/>
              <w:rPr>
                <w:rStyle w:val="None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b</w:t>
            </w:r>
            <w:r>
              <w:rPr>
                <w:rStyle w:val="None"/>
                <w:sz w:val="22"/>
                <w:szCs w:val="22"/>
                <w:rtl w:val="0"/>
                <w:lang w:val="en-US"/>
              </w:rPr>
              <w:t>y authority of the Rector</w:t>
            </w:r>
          </w:p>
          <w:p>
            <w:pPr>
              <w:pStyle w:val="Default"/>
              <w:bidi w:val="0"/>
              <w:spacing w:line="276" w:lineRule="auto"/>
              <w:ind w:left="0" w:right="0" w:firstLine="0"/>
              <w:jc w:val="center"/>
              <w:rPr>
                <w:rStyle w:val="None"/>
                <w:sz w:val="22"/>
                <w:szCs w:val="22"/>
                <w:rtl w:val="0"/>
              </w:rPr>
            </w:pPr>
            <w:r>
              <w:rPr>
                <w:rStyle w:val="None"/>
                <w:sz w:val="22"/>
                <w:szCs w:val="22"/>
                <w:rtl w:val="0"/>
                <w:lang w:val="en-US"/>
              </w:rPr>
              <w:t>Director of  postgraduate (non-degree) course of study</w:t>
            </w:r>
          </w:p>
          <w:p>
            <w:pPr>
              <w:pStyle w:val="Default"/>
              <w:spacing w:line="276" w:lineRule="auto"/>
              <w:jc w:val="center"/>
              <w:rPr>
                <w:rStyle w:val="None"/>
                <w:sz w:val="22"/>
                <w:szCs w:val="22"/>
                <w:lang w:val="en-US"/>
              </w:rPr>
            </w:pPr>
          </w:p>
          <w:p>
            <w:pPr>
              <w:pStyle w:val="Default"/>
              <w:spacing w:line="276" w:lineRule="auto"/>
              <w:jc w:val="center"/>
              <w:rPr>
                <w:rStyle w:val="None"/>
                <w:sz w:val="22"/>
                <w:szCs w:val="22"/>
                <w:lang w:val="en-US"/>
              </w:rPr>
            </w:pPr>
          </w:p>
          <w:p>
            <w:pPr>
              <w:pStyle w:val="Default"/>
              <w:bidi w:val="0"/>
              <w:spacing w:line="276" w:lineRule="auto"/>
              <w:ind w:left="0" w:right="0" w:firstLine="0"/>
              <w:jc w:val="center"/>
              <w:rPr>
                <w:rStyle w:val="None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Style w:val="None"/>
                <w:i w:val="0"/>
                <w:iCs w:val="0"/>
                <w:sz w:val="22"/>
                <w:szCs w:val="22"/>
                <w:rtl w:val="0"/>
                <w:lang w:val="en-US"/>
              </w:rPr>
              <w:t>……………………………………………</w:t>
            </w:r>
          </w:p>
          <w:p>
            <w:pPr>
              <w:pStyle w:val="Default"/>
              <w:spacing w:line="276" w:lineRule="auto"/>
              <w:jc w:val="center"/>
            </w:pPr>
            <w:r>
              <w:rPr>
                <w:rStyle w:val="None"/>
                <w:i w:val="1"/>
                <w:iCs w:val="1"/>
                <w:sz w:val="22"/>
                <w:szCs w:val="22"/>
                <w:rtl w:val="0"/>
                <w:lang w:val="en-US"/>
              </w:rPr>
              <w:t>(signature and personal stamp)</w:t>
            </w:r>
          </w:p>
        </w:tc>
      </w:tr>
    </w:tbl>
    <w:p>
      <w:pPr>
        <w:pStyle w:val="Default"/>
        <w:widowControl w:val="0"/>
        <w:jc w:val="center"/>
      </w:pPr>
      <w:r>
        <w:rPr>
          <w:rStyle w:val="None"/>
          <w:color w:val="000000"/>
          <w:sz w:val="22"/>
          <w:szCs w:val="22"/>
          <w:u w:color="000000"/>
          <w:lang w:val="en-US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720" w:right="720" w:bottom="720" w:left="720" w:header="113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MS Minch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i w:val="1"/>
        <w:iCs w:val="1"/>
        <w:sz w:val="22"/>
        <w:szCs w:val="22"/>
        <w:rtl w:val="0"/>
      </w:rPr>
      <w:t xml:space="preserve">page </w:t>
    </w:r>
    <w:r>
      <w:rPr>
        <w:i w:val="1"/>
        <w:iCs w:val="1"/>
        <w:sz w:val="22"/>
        <w:szCs w:val="22"/>
        <w:rtl w:val="0"/>
      </w:rPr>
      <w:fldChar w:fldCharType="begin" w:fldLock="0"/>
    </w:r>
    <w:r>
      <w:rPr>
        <w:i w:val="1"/>
        <w:iCs w:val="1"/>
        <w:sz w:val="22"/>
        <w:szCs w:val="22"/>
        <w:rtl w:val="0"/>
      </w:rPr>
      <w:instrText xml:space="preserve"> PAGE </w:instrText>
    </w:r>
    <w:r>
      <w:rPr>
        <w:i w:val="1"/>
        <w:iCs w:val="1"/>
        <w:sz w:val="22"/>
        <w:szCs w:val="22"/>
        <w:rtl w:val="0"/>
      </w:rPr>
      <w:fldChar w:fldCharType="separate" w:fldLock="0"/>
    </w:r>
    <w:r>
      <w:rPr>
        <w:i w:val="1"/>
        <w:iCs w:val="1"/>
        <w:sz w:val="22"/>
        <w:szCs w:val="22"/>
        <w:rtl w:val="0"/>
      </w:rPr>
      <w:t>1</w:t>
    </w:r>
    <w:r>
      <w:rPr>
        <w:i w:val="1"/>
        <w:iCs w:val="1"/>
        <w:sz w:val="22"/>
        <w:szCs w:val="22"/>
        <w:rtl w:val="0"/>
      </w:rPr>
      <w:fldChar w:fldCharType="end" w:fldLock="0"/>
    </w:r>
    <w:r>
      <w:rPr>
        <w:i w:val="1"/>
        <w:iCs w:val="1"/>
        <w:sz w:val="22"/>
        <w:szCs w:val="22"/>
        <w:rtl w:val="0"/>
      </w:rPr>
      <w:t xml:space="preserve"> of</w:t>
    </w:r>
    <w:r>
      <w:rPr>
        <w:i w:val="1"/>
        <w:iCs w:val="1"/>
        <w:sz w:val="22"/>
        <w:szCs w:val="22"/>
        <w:rtl w:val="0"/>
      </w:rPr>
      <w:t xml:space="preserve"> </w:t>
    </w:r>
    <w:r>
      <w:rPr>
        <w:i w:val="1"/>
        <w:iCs w:val="1"/>
        <w:sz w:val="22"/>
        <w:szCs w:val="22"/>
        <w:rtl w:val="0"/>
      </w:rPr>
      <w:fldChar w:fldCharType="begin" w:fldLock="0"/>
    </w:r>
    <w:r>
      <w:rPr>
        <w:i w:val="1"/>
        <w:iCs w:val="1"/>
        <w:sz w:val="22"/>
        <w:szCs w:val="22"/>
        <w:rtl w:val="0"/>
      </w:rPr>
      <w:instrText xml:space="preserve"> NUMPAGES </w:instrText>
    </w:r>
    <w:r>
      <w:rPr>
        <w:i w:val="1"/>
        <w:iCs w:val="1"/>
        <w:sz w:val="22"/>
        <w:szCs w:val="22"/>
        <w:rtl w:val="0"/>
      </w:rPr>
      <w:fldChar w:fldCharType="separate" w:fldLock="0"/>
    </w:r>
    <w:r>
      <w:rPr>
        <w:i w:val="1"/>
        <w:iCs w:val="1"/>
        <w:sz w:val="22"/>
        <w:szCs w:val="22"/>
        <w:rtl w:val="0"/>
      </w:rPr>
      <w:t>3</w:t>
    </w:r>
    <w:r>
      <w:rPr>
        <w:i w:val="1"/>
        <w:iCs w:val="1"/>
        <w:sz w:val="22"/>
        <w:szCs w:val="22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ind w:right="360"/>
      <w:jc w:val="center"/>
    </w:pPr>
    <w:r>
      <w:rPr>
        <w:i w:val="1"/>
        <w:iCs w:val="1"/>
        <w:sz w:val="22"/>
        <w:szCs w:val="22"/>
        <w:rtl w:val="0"/>
      </w:rPr>
      <w:t xml:space="preserve">page </w:t>
    </w:r>
    <w:r>
      <w:rPr>
        <w:i w:val="1"/>
        <w:iCs w:val="1"/>
        <w:sz w:val="22"/>
        <w:szCs w:val="22"/>
        <w:rtl w:val="0"/>
      </w:rPr>
      <w:fldChar w:fldCharType="begin" w:fldLock="0"/>
    </w:r>
    <w:r>
      <w:rPr>
        <w:i w:val="1"/>
        <w:iCs w:val="1"/>
        <w:sz w:val="22"/>
        <w:szCs w:val="22"/>
        <w:rtl w:val="0"/>
      </w:rPr>
      <w:instrText xml:space="preserve"> PAGE </w:instrText>
    </w:r>
    <w:r>
      <w:rPr>
        <w:i w:val="1"/>
        <w:iCs w:val="1"/>
        <w:sz w:val="22"/>
        <w:szCs w:val="22"/>
        <w:rtl w:val="0"/>
      </w:rPr>
      <w:fldChar w:fldCharType="separate" w:fldLock="0"/>
    </w:r>
    <w:r>
      <w:rPr>
        <w:i w:val="1"/>
        <w:iCs w:val="1"/>
        <w:sz w:val="22"/>
        <w:szCs w:val="22"/>
        <w:rtl w:val="0"/>
      </w:rPr>
      <w:t>2</w:t>
    </w:r>
    <w:r>
      <w:rPr>
        <w:i w:val="1"/>
        <w:iCs w:val="1"/>
        <w:sz w:val="22"/>
        <w:szCs w:val="22"/>
        <w:rtl w:val="0"/>
      </w:rPr>
      <w:fldChar w:fldCharType="end" w:fldLock="0"/>
    </w:r>
    <w:r>
      <w:rPr>
        <w:i w:val="1"/>
        <w:iCs w:val="1"/>
        <w:sz w:val="22"/>
        <w:szCs w:val="22"/>
        <w:rtl w:val="0"/>
      </w:rPr>
      <w:t xml:space="preserve"> of </w:t>
    </w:r>
    <w:r>
      <w:rPr>
        <w:i w:val="1"/>
        <w:iCs w:val="1"/>
        <w:sz w:val="22"/>
        <w:szCs w:val="22"/>
        <w:rtl w:val="0"/>
      </w:rPr>
      <w:fldChar w:fldCharType="begin" w:fldLock="0"/>
    </w:r>
    <w:r>
      <w:rPr>
        <w:i w:val="1"/>
        <w:iCs w:val="1"/>
        <w:sz w:val="22"/>
        <w:szCs w:val="22"/>
        <w:rtl w:val="0"/>
      </w:rPr>
      <w:instrText xml:space="preserve"> NUMPAGES </w:instrText>
    </w:r>
    <w:r>
      <w:rPr>
        <w:i w:val="1"/>
        <w:iCs w:val="1"/>
        <w:sz w:val="22"/>
        <w:szCs w:val="22"/>
        <w:rtl w:val="0"/>
      </w:rPr>
      <w:fldChar w:fldCharType="separate" w:fldLock="0"/>
    </w:r>
    <w:r>
      <w:rPr>
        <w:i w:val="1"/>
        <w:iCs w:val="1"/>
        <w:sz w:val="22"/>
        <w:szCs w:val="22"/>
        <w:rtl w:val="0"/>
      </w:rPr>
      <w:t>3</w:t>
    </w:r>
    <w:r>
      <w:rPr>
        <w:i w:val="1"/>
        <w:iCs w:val="1"/>
        <w:sz w:val="22"/>
        <w:szCs w:val="22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  <w:rPr>
        <w:sz w:val="18"/>
        <w:szCs w:val="18"/>
      </w:rPr>
    </w:pPr>
  </w:p>
  <w:p>
    <w:pPr>
      <w:pStyle w:val="Default"/>
      <w:spacing w:after="240" w:line="276" w:lineRule="auto"/>
      <w:jc w:val="right"/>
    </w:pPr>
    <w:r>
      <w:rPr>
        <w:i w:val="1"/>
        <w:iCs w:val="1"/>
        <w:sz w:val="22"/>
        <w:szCs w:val="22"/>
        <w:rtl w:val="0"/>
        <w:lang w:val="en-US"/>
      </w:rPr>
      <w:t>annex 3 to University of Gda</w:t>
    </w:r>
    <w:r>
      <w:rPr>
        <w:i w:val="1"/>
        <w:iCs w:val="1"/>
        <w:sz w:val="22"/>
        <w:szCs w:val="22"/>
        <w:rtl w:val="0"/>
        <w:lang w:val="en-US"/>
      </w:rPr>
      <w:t>ń</w:t>
    </w:r>
    <w:r>
      <w:rPr>
        <w:i w:val="1"/>
        <w:iCs w:val="1"/>
        <w:sz w:val="22"/>
        <w:szCs w:val="22"/>
        <w:rtl w:val="0"/>
        <w:lang w:val="en-US"/>
      </w:rPr>
      <w:t>sk Senate Resolution</w:t>
    </w:r>
    <w:r>
      <w:rPr>
        <w:i w:val="1"/>
        <w:iCs w:val="1"/>
        <w:sz w:val="22"/>
        <w:szCs w:val="22"/>
        <w:rtl w:val="0"/>
      </w:rPr>
      <w:t xml:space="preserve"> 19/15</w:t>
    </w:r>
    <w:r>
      <w:rPr>
        <w:i w:val="1"/>
        <w:iCs w:val="1"/>
        <w:sz w:val="22"/>
        <w:szCs w:val="22"/>
        <w:rtl w:val="0"/>
      </w:rPr>
      <w:t xml:space="preserve"> with amendments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1437"/>
        </w:tabs>
        <w:ind w:left="380" w:hanging="3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44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40" w:hanging="1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</w:tabs>
        <w:ind w:left="2880" w:hanging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</w:tabs>
        <w:ind w:left="3600" w:hanging="9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</w:tabs>
        <w:ind w:left="4320" w:hanging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</w:tabs>
        <w:ind w:left="5040" w:hanging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</w:tabs>
        <w:ind w:left="5760" w:hanging="9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)"/>
      <w:lvlJc w:val="left"/>
      <w:pPr>
        <w:ind w:left="7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left" w:pos="2360"/>
        </w:tabs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44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left" w:pos="720"/>
          <w:tab w:val="left" w:pos="1440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49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</w:tabs>
        <w:ind w:left="2869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</w:tabs>
        <w:ind w:left="3589" w:hanging="9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</w:tabs>
        <w:ind w:left="4309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</w:tabs>
        <w:ind w:left="5029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</w:tabs>
        <w:ind w:left="5749" w:hanging="9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5"/>
  </w:abstractNum>
  <w:abstractNum w:abstractNumId="7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tabs>
          <w:tab w:val="num" w:pos="409"/>
          <w:tab w:val="left" w:pos="2360"/>
        </w:tabs>
        <w:ind w:left="4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409"/>
          <w:tab w:val="left" w:pos="2360"/>
        </w:tabs>
        <w:ind w:left="4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409"/>
          <w:tab w:val="left" w:pos="2360"/>
        </w:tabs>
        <w:ind w:left="4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409"/>
          <w:tab w:val="left" w:pos="2360"/>
        </w:tabs>
        <w:ind w:left="4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409"/>
          <w:tab w:val="left" w:pos="2360"/>
        </w:tabs>
        <w:ind w:left="4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409"/>
          <w:tab w:val="left" w:pos="2360"/>
        </w:tabs>
        <w:ind w:left="4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409"/>
          <w:tab w:val="left" w:pos="2360"/>
        </w:tabs>
        <w:ind w:left="4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409"/>
          <w:tab w:val="left" w:pos="2360"/>
        </w:tabs>
        <w:ind w:left="4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09"/>
          <w:tab w:val="left" w:pos="2360"/>
        </w:tabs>
        <w:ind w:left="4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6"/>
  </w:abstractNum>
  <w:abstractNum w:abstractNumId="9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7"/>
  </w:abstractNum>
  <w:abstractNum w:abstractNumId="11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8"/>
  </w:abstractNum>
  <w:abstractNum w:abstractNumId="13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ind w:left="380" w:hanging="3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8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8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8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8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8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8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8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80" w:hanging="3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440"/>
            <w:tab w:val="left" w:pos="2005"/>
          </w:tabs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left" w:pos="2005"/>
          </w:tabs>
          <w:ind w:left="1640" w:hanging="7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</w:tabs>
          <w:ind w:left="2005" w:hanging="2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</w:tabs>
          <w:ind w:left="288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005"/>
          </w:tabs>
          <w:ind w:left="3600" w:hanging="9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005"/>
          </w:tabs>
          <w:ind w:left="432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005"/>
          </w:tabs>
          <w:ind w:left="504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005"/>
          </w:tabs>
          <w:ind w:left="5760" w:hanging="9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)"/>
        <w:lvlJc w:val="left"/>
        <w:pPr>
          <w:tabs>
            <w:tab w:val="left" w:pos="720"/>
            <w:tab w:val="left" w:pos="1440"/>
          </w:tabs>
          <w:ind w:left="141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1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</w:tabs>
          <w:ind w:left="3600" w:hanging="9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</w:tabs>
          <w:ind w:left="43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</w:tabs>
          <w:ind w:left="50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</w:tabs>
          <w:ind w:left="5760" w:hanging="9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8"/>
    <w:lvlOverride w:ilvl="0">
      <w:startOverride w:val="2"/>
    </w:lvlOverride>
  </w:num>
  <w:num w:numId="15">
    <w:abstractNumId w:val="11"/>
  </w:num>
  <w:num w:numId="16">
    <w:abstractNumId w:val="10"/>
  </w:num>
  <w:num w:numId="17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Text 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Garamond" w:cs="Arial Unicode MS" w:hAnsi="Garamond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00"/>
      <w:u w:val="single" w:color="000000"/>
      <w:lang w:val="en-US"/>
    </w:r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2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7">
    <w:name w:val="Imported Style 7"/>
    <w:pPr>
      <w:numPr>
        <w:numId w:val="15"/>
      </w:numPr>
    </w:pPr>
  </w:style>
  <w:style w:type="numbering" w:styleId="Imported Style 8">
    <w:name w:val="Imported Style 8"/>
    <w:pPr>
      <w:numPr>
        <w:numId w:val="1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