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07" w:rsidRDefault="00391207" w:rsidP="00391207">
      <w:pPr>
        <w:spacing w:after="0" w:line="240" w:lineRule="auto"/>
        <w:ind w:right="17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12</w:t>
      </w:r>
    </w:p>
    <w:p w:rsidR="00391207" w:rsidRDefault="00391207" w:rsidP="00391207">
      <w:pPr>
        <w:spacing w:after="0" w:line="240" w:lineRule="auto"/>
        <w:ind w:right="17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Do Instrukcji postępowania przy udzielaniu zamówień publicznych w UG</w:t>
      </w:r>
    </w:p>
    <w:p w:rsidR="00391207" w:rsidRPr="00E05BCF" w:rsidRDefault="00391207" w:rsidP="00391207">
      <w:pPr>
        <w:tabs>
          <w:tab w:val="left" w:pos="709"/>
        </w:tabs>
        <w:ind w:left="284" w:hanging="284"/>
        <w:jc w:val="right"/>
        <w:rPr>
          <w:b/>
          <w:sz w:val="24"/>
          <w:szCs w:val="24"/>
        </w:rPr>
      </w:pPr>
    </w:p>
    <w:p w:rsidR="00355A2C" w:rsidRPr="00E05BCF" w:rsidRDefault="00E05BCF" w:rsidP="00355A2C">
      <w:pPr>
        <w:tabs>
          <w:tab w:val="left" w:pos="709"/>
        </w:tabs>
        <w:ind w:left="284" w:hanging="284"/>
        <w:jc w:val="both"/>
        <w:rPr>
          <w:b/>
          <w:sz w:val="24"/>
          <w:szCs w:val="24"/>
        </w:rPr>
      </w:pPr>
      <w:r w:rsidRPr="00E05BCF">
        <w:rPr>
          <w:b/>
          <w:sz w:val="24"/>
          <w:szCs w:val="24"/>
        </w:rPr>
        <w:t>1. Opis przedmiotu zamówienia</w:t>
      </w:r>
    </w:p>
    <w:p w:rsidR="002F7907" w:rsidRDefault="002F7907" w:rsidP="002F7907">
      <w:pPr>
        <w:pStyle w:val="Akapitzlist"/>
        <w:numPr>
          <w:ilvl w:val="0"/>
          <w:numId w:val="1"/>
        </w:numPr>
        <w:tabs>
          <w:tab w:val="left" w:pos="360"/>
        </w:tabs>
        <w:ind w:left="284" w:hanging="284"/>
        <w:jc w:val="both"/>
        <w:rPr>
          <w:sz w:val="24"/>
          <w:szCs w:val="24"/>
        </w:rPr>
      </w:pPr>
      <w:r w:rsidRPr="002F7907">
        <w:rPr>
          <w:sz w:val="24"/>
          <w:szCs w:val="24"/>
          <w:u w:val="single"/>
        </w:rPr>
        <w:t>Zamawiający</w:t>
      </w:r>
      <w:r w:rsidR="00495C5A">
        <w:rPr>
          <w:sz w:val="24"/>
          <w:szCs w:val="24"/>
          <w:u w:val="single"/>
        </w:rPr>
        <w:t>,</w:t>
      </w:r>
      <w:r w:rsidR="002D6F7B">
        <w:rPr>
          <w:sz w:val="24"/>
          <w:szCs w:val="24"/>
        </w:rPr>
        <w:t xml:space="preserve"> Uniwersytet Gdański</w:t>
      </w:r>
      <w:r w:rsidRPr="00614D22">
        <w:rPr>
          <w:sz w:val="24"/>
          <w:szCs w:val="24"/>
        </w:rPr>
        <w:t xml:space="preserve"> przygotowuje i przeprowadza postę</w:t>
      </w:r>
      <w:r>
        <w:rPr>
          <w:sz w:val="24"/>
          <w:szCs w:val="24"/>
        </w:rPr>
        <w:t xml:space="preserve">powanie o udzielenie zamówienia </w:t>
      </w:r>
      <w:r w:rsidR="007830A7">
        <w:rPr>
          <w:sz w:val="24"/>
          <w:szCs w:val="24"/>
        </w:rPr>
        <w:t xml:space="preserve">publicznego </w:t>
      </w:r>
      <w:r w:rsidRPr="00614D22">
        <w:rPr>
          <w:sz w:val="24"/>
          <w:szCs w:val="24"/>
        </w:rPr>
        <w:t>w sposób zapewniający zachowanie uczciwej konkurencji</w:t>
      </w:r>
      <w:r w:rsidR="001523B5">
        <w:rPr>
          <w:sz w:val="24"/>
          <w:szCs w:val="24"/>
        </w:rPr>
        <w:t xml:space="preserve"> </w:t>
      </w:r>
      <w:r w:rsidRPr="00614D22">
        <w:rPr>
          <w:sz w:val="24"/>
          <w:szCs w:val="24"/>
        </w:rPr>
        <w:t>or</w:t>
      </w:r>
      <w:r>
        <w:rPr>
          <w:sz w:val="24"/>
          <w:szCs w:val="24"/>
        </w:rPr>
        <w:t>az równe traktowanie Wykonawców.</w:t>
      </w:r>
    </w:p>
    <w:p w:rsidR="007830A7" w:rsidRPr="00F57816" w:rsidRDefault="007830A7" w:rsidP="007830A7">
      <w:pPr>
        <w:pStyle w:val="Akapitzlist"/>
        <w:numPr>
          <w:ilvl w:val="0"/>
          <w:numId w:val="1"/>
        </w:numPr>
        <w:tabs>
          <w:tab w:val="left" w:pos="36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Opis przedmiotu zamówienia jest jedną z najistotniejszych czynności dokonywanych w toku przygotowywania postępowania o udzielenie zamówienia publicznego. Opis, będąc szczegółowym wskazaniem, jakie dobro zamierza nabyć Zamawiający, </w:t>
      </w:r>
      <w:r w:rsidR="002D6F7B">
        <w:rPr>
          <w:sz w:val="24"/>
          <w:szCs w:val="24"/>
        </w:rPr>
        <w:t>jest również istotnym elementem</w:t>
      </w:r>
      <w:r>
        <w:rPr>
          <w:sz w:val="24"/>
          <w:szCs w:val="24"/>
        </w:rPr>
        <w:t xml:space="preserve"> Specyfikacji Istotnych Warunków </w:t>
      </w:r>
      <w:r w:rsidR="002D6F7B">
        <w:rPr>
          <w:sz w:val="24"/>
          <w:szCs w:val="24"/>
        </w:rPr>
        <w:t>Zamówienia (zwana dalej SIWZ). W</w:t>
      </w:r>
      <w:r>
        <w:rPr>
          <w:sz w:val="24"/>
          <w:szCs w:val="24"/>
        </w:rPr>
        <w:t xml:space="preserve"> praktyce decyduje </w:t>
      </w:r>
      <w:r w:rsidR="002D6F7B">
        <w:rPr>
          <w:sz w:val="24"/>
          <w:szCs w:val="24"/>
        </w:rPr>
        <w:t xml:space="preserve">on </w:t>
      </w:r>
      <w:r>
        <w:rPr>
          <w:sz w:val="24"/>
          <w:szCs w:val="24"/>
        </w:rPr>
        <w:t>o określeniu kręgu podmiotów, które będą mogły ubiegać się o zamówienie.</w:t>
      </w:r>
    </w:p>
    <w:p w:rsidR="007830A7" w:rsidRDefault="007830A7" w:rsidP="007830A7">
      <w:pPr>
        <w:pStyle w:val="Akapitzlist"/>
        <w:numPr>
          <w:ilvl w:val="0"/>
          <w:numId w:val="1"/>
        </w:numPr>
        <w:tabs>
          <w:tab w:val="left" w:pos="36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Prawidłowe sporządzenie opisu przedmiotu zamówienia zapewni Zamawiającemu nie tylko sprawne przeprowadzenie postępowania o udzielenie zamówienia publicznego oraz nabycie dobra, które od</w:t>
      </w:r>
      <w:r w:rsidR="002D6F7B">
        <w:rPr>
          <w:sz w:val="24"/>
          <w:szCs w:val="24"/>
        </w:rPr>
        <w:t>powiadać będzie jego potrzebom,</w:t>
      </w:r>
      <w:r>
        <w:rPr>
          <w:sz w:val="24"/>
          <w:szCs w:val="24"/>
        </w:rPr>
        <w:t xml:space="preserve"> ale również pozwoli uniknąć odpowiedzialności z tytułu naruszenia dyscypliny finansów publicznych.</w:t>
      </w:r>
    </w:p>
    <w:p w:rsidR="005119BC" w:rsidRDefault="005119BC" w:rsidP="002F7907">
      <w:pPr>
        <w:pStyle w:val="Akapitzlist"/>
        <w:numPr>
          <w:ilvl w:val="0"/>
          <w:numId w:val="1"/>
        </w:numPr>
        <w:tabs>
          <w:tab w:val="left" w:pos="360"/>
        </w:tabs>
        <w:ind w:left="284" w:hanging="284"/>
        <w:jc w:val="both"/>
        <w:rPr>
          <w:sz w:val="24"/>
          <w:szCs w:val="24"/>
        </w:rPr>
      </w:pPr>
      <w:r w:rsidRPr="005119BC">
        <w:rPr>
          <w:sz w:val="24"/>
          <w:szCs w:val="24"/>
        </w:rPr>
        <w:t>Przedmiotu zamówienia nie można opisywać w sposób, który mógłby utrudniać uczciwą konkurencję</w:t>
      </w:r>
      <w:r>
        <w:rPr>
          <w:sz w:val="24"/>
          <w:szCs w:val="24"/>
        </w:rPr>
        <w:t xml:space="preserve"> art. 29 ust 2 ustawy </w:t>
      </w:r>
      <w:proofErr w:type="spellStart"/>
      <w:r>
        <w:rPr>
          <w:sz w:val="24"/>
          <w:szCs w:val="24"/>
        </w:rPr>
        <w:t>Pzp</w:t>
      </w:r>
      <w:proofErr w:type="spellEnd"/>
      <w:r w:rsidRPr="005119BC">
        <w:rPr>
          <w:sz w:val="24"/>
          <w:szCs w:val="24"/>
        </w:rPr>
        <w:t>.</w:t>
      </w:r>
    </w:p>
    <w:p w:rsidR="005119BC" w:rsidRDefault="005119BC" w:rsidP="002F7907">
      <w:pPr>
        <w:pStyle w:val="Akapitzlist"/>
        <w:numPr>
          <w:ilvl w:val="0"/>
          <w:numId w:val="1"/>
        </w:numPr>
        <w:tabs>
          <w:tab w:val="left" w:pos="36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Zakaz </w:t>
      </w:r>
      <w:r w:rsidR="00E47408">
        <w:rPr>
          <w:sz w:val="24"/>
          <w:szCs w:val="24"/>
        </w:rPr>
        <w:t>wynikający z powyższego przepisu nie oznacza konieczności nabywania przez Zamawiającego dost</w:t>
      </w:r>
      <w:r w:rsidR="007830A7">
        <w:rPr>
          <w:sz w:val="24"/>
          <w:szCs w:val="24"/>
        </w:rPr>
        <w:t xml:space="preserve">aw, usług </w:t>
      </w:r>
      <w:r w:rsidR="00E47408">
        <w:rPr>
          <w:sz w:val="24"/>
          <w:szCs w:val="24"/>
        </w:rPr>
        <w:t>nieodpowiadających jego potrzebom, zarówno co do jakości, funkcjonalności, czy wymaganych parametrów</w:t>
      </w:r>
      <w:r w:rsidR="00E47408" w:rsidRPr="00E47408">
        <w:rPr>
          <w:sz w:val="24"/>
          <w:szCs w:val="24"/>
        </w:rPr>
        <w:t xml:space="preserve"> </w:t>
      </w:r>
      <w:r w:rsidR="00E47408">
        <w:rPr>
          <w:sz w:val="24"/>
          <w:szCs w:val="24"/>
        </w:rPr>
        <w:t xml:space="preserve">technicznych, a jedynie nakazuje </w:t>
      </w:r>
      <w:r w:rsidR="002D6F7B">
        <w:rPr>
          <w:sz w:val="24"/>
          <w:szCs w:val="24"/>
        </w:rPr>
        <w:t>zachować</w:t>
      </w:r>
      <w:r w:rsidR="00E47408">
        <w:rPr>
          <w:sz w:val="24"/>
          <w:szCs w:val="24"/>
        </w:rPr>
        <w:t xml:space="preserve"> konkurencję między Wykonawcami mogącymi spełnić postawione wymogi w odniesieniu do przedmiotu zamówienia.</w:t>
      </w:r>
      <w:r w:rsidR="00457E04">
        <w:rPr>
          <w:sz w:val="24"/>
          <w:szCs w:val="24"/>
        </w:rPr>
        <w:t xml:space="preserve"> </w:t>
      </w:r>
    </w:p>
    <w:p w:rsidR="00E47408" w:rsidRPr="005119BC" w:rsidRDefault="00E47408" w:rsidP="002F7907">
      <w:pPr>
        <w:pStyle w:val="Akapitzlist"/>
        <w:numPr>
          <w:ilvl w:val="0"/>
          <w:numId w:val="1"/>
        </w:numPr>
        <w:tabs>
          <w:tab w:val="left" w:pos="36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można mówić o zachowaniu zasady uczciwej konkurencji w sytuacji, gdy przedmiot zamówienia określony zostanie </w:t>
      </w:r>
      <w:r w:rsidR="00457E04">
        <w:rPr>
          <w:sz w:val="24"/>
          <w:szCs w:val="24"/>
        </w:rPr>
        <w:t>za pomocą nazw własnych</w:t>
      </w:r>
      <w:r w:rsidR="00A67952">
        <w:rPr>
          <w:sz w:val="24"/>
          <w:szCs w:val="24"/>
        </w:rPr>
        <w:t xml:space="preserve"> </w:t>
      </w:r>
      <w:r w:rsidR="00457E04">
        <w:rPr>
          <w:sz w:val="24"/>
          <w:szCs w:val="24"/>
        </w:rPr>
        <w:t xml:space="preserve">czy też </w:t>
      </w:r>
      <w:r>
        <w:rPr>
          <w:sz w:val="24"/>
          <w:szCs w:val="24"/>
        </w:rPr>
        <w:t xml:space="preserve">w sposób wskazujący </w:t>
      </w:r>
      <w:r w:rsidR="00457E04">
        <w:rPr>
          <w:sz w:val="24"/>
          <w:szCs w:val="24"/>
        </w:rPr>
        <w:t>na konkretny produkt. P</w:t>
      </w:r>
      <w:r w:rsidR="00495C5A">
        <w:rPr>
          <w:sz w:val="24"/>
          <w:szCs w:val="24"/>
        </w:rPr>
        <w:t>rzy czym produkt ten nie musi być nazwany przez Zamawiającego, a wystarczające będzie, że wymogi i parametry odnoszące się do niego określone zostaną tak, że konieczne stanie się dostarczenie jednego konkretnego produktu, aby zachować zgodność z wymaganiami Zamawiającego.</w:t>
      </w:r>
      <w:r w:rsidR="00293303">
        <w:rPr>
          <w:sz w:val="24"/>
          <w:szCs w:val="24"/>
        </w:rPr>
        <w:t xml:space="preserve"> </w:t>
      </w:r>
      <w:r w:rsidR="00457E04">
        <w:rPr>
          <w:sz w:val="24"/>
          <w:szCs w:val="24"/>
        </w:rPr>
        <w:t>Zatem</w:t>
      </w:r>
      <w:r w:rsidR="00293303">
        <w:rPr>
          <w:sz w:val="24"/>
          <w:szCs w:val="24"/>
        </w:rPr>
        <w:t xml:space="preserve"> poprzez opisanie niektórych elementów przedmiotu zamówienia, przez podanie parametrów wskazujących konkretny produkt, Zamawiający dopuszcza się naruszenia dyspozycji art. 29 ust</w:t>
      </w:r>
      <w:r w:rsidR="00A67952">
        <w:rPr>
          <w:sz w:val="24"/>
          <w:szCs w:val="24"/>
        </w:rPr>
        <w:t>.</w:t>
      </w:r>
      <w:r w:rsidR="00293303">
        <w:rPr>
          <w:sz w:val="24"/>
          <w:szCs w:val="24"/>
        </w:rPr>
        <w:t xml:space="preserve"> 2 ustawy </w:t>
      </w:r>
      <w:proofErr w:type="spellStart"/>
      <w:r w:rsidR="00293303">
        <w:rPr>
          <w:sz w:val="24"/>
          <w:szCs w:val="24"/>
        </w:rPr>
        <w:t>Pzp</w:t>
      </w:r>
      <w:proofErr w:type="spellEnd"/>
      <w:r w:rsidR="00293303">
        <w:rPr>
          <w:sz w:val="24"/>
          <w:szCs w:val="24"/>
        </w:rPr>
        <w:t xml:space="preserve"> w związku z art. 7 ust</w:t>
      </w:r>
      <w:r w:rsidR="00A67952">
        <w:rPr>
          <w:sz w:val="24"/>
          <w:szCs w:val="24"/>
        </w:rPr>
        <w:t>.</w:t>
      </w:r>
      <w:r w:rsidR="00293303">
        <w:rPr>
          <w:sz w:val="24"/>
          <w:szCs w:val="24"/>
        </w:rPr>
        <w:t xml:space="preserve"> 1 ustawy </w:t>
      </w:r>
      <w:proofErr w:type="spellStart"/>
      <w:r w:rsidR="00293303">
        <w:rPr>
          <w:sz w:val="24"/>
          <w:szCs w:val="24"/>
        </w:rPr>
        <w:t>Pzp</w:t>
      </w:r>
      <w:proofErr w:type="spellEnd"/>
      <w:r w:rsidR="00293303">
        <w:rPr>
          <w:sz w:val="24"/>
          <w:szCs w:val="24"/>
        </w:rPr>
        <w:t>.</w:t>
      </w:r>
    </w:p>
    <w:p w:rsidR="002D1167" w:rsidRPr="003F57DE" w:rsidRDefault="00E05BCF" w:rsidP="003F57DE">
      <w:pPr>
        <w:tabs>
          <w:tab w:val="left" w:pos="360"/>
        </w:tabs>
        <w:jc w:val="both"/>
        <w:rPr>
          <w:b/>
          <w:sz w:val="24"/>
          <w:szCs w:val="24"/>
        </w:rPr>
      </w:pPr>
      <w:r w:rsidRPr="003F57DE">
        <w:rPr>
          <w:b/>
          <w:sz w:val="24"/>
          <w:szCs w:val="24"/>
        </w:rPr>
        <w:t>2. Zasady opisywania przedmiotu zamówienia</w:t>
      </w:r>
      <w:r w:rsidR="00442C59" w:rsidRPr="003F57DE">
        <w:rPr>
          <w:b/>
          <w:sz w:val="24"/>
          <w:szCs w:val="24"/>
        </w:rPr>
        <w:t xml:space="preserve"> – oferta równoważna</w:t>
      </w:r>
    </w:p>
    <w:p w:rsidR="00D1501B" w:rsidRPr="00614D22" w:rsidRDefault="00D1501B" w:rsidP="00E05BCF">
      <w:pPr>
        <w:pStyle w:val="Akapitzlist"/>
        <w:numPr>
          <w:ilvl w:val="0"/>
          <w:numId w:val="4"/>
        </w:numPr>
        <w:tabs>
          <w:tab w:val="left" w:pos="36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 ma prawo opisać swoje potrzeby w taki sposób, aby przedmiot zamówienia spełniał jego wymagania i zaspokajał</w:t>
      </w:r>
      <w:r w:rsidR="001523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jego potrzeby, pod warunkiem, że dokonany opis nie narusza </w:t>
      </w:r>
      <w:r w:rsidR="003E36BF">
        <w:rPr>
          <w:sz w:val="24"/>
          <w:szCs w:val="24"/>
        </w:rPr>
        <w:t xml:space="preserve">zasad uczciwej </w:t>
      </w:r>
      <w:r>
        <w:rPr>
          <w:sz w:val="24"/>
          <w:szCs w:val="24"/>
        </w:rPr>
        <w:t xml:space="preserve">konkurencji ani </w:t>
      </w:r>
      <w:r w:rsidR="00A67952">
        <w:rPr>
          <w:sz w:val="24"/>
          <w:szCs w:val="24"/>
        </w:rPr>
        <w:t xml:space="preserve">równego traktowania </w:t>
      </w:r>
      <w:r w:rsidR="00E05BCF">
        <w:rPr>
          <w:sz w:val="24"/>
          <w:szCs w:val="24"/>
        </w:rPr>
        <w:t>Wykonawców.</w:t>
      </w:r>
    </w:p>
    <w:p w:rsidR="00355A2C" w:rsidRDefault="00E05BCF" w:rsidP="00E05BCF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Przedmiot</w:t>
      </w:r>
      <w:r w:rsidR="00355A2C" w:rsidRPr="00614D22">
        <w:rPr>
          <w:sz w:val="24"/>
          <w:szCs w:val="24"/>
        </w:rPr>
        <w:t xml:space="preserve"> zamówienia </w:t>
      </w:r>
      <w:r>
        <w:rPr>
          <w:sz w:val="24"/>
          <w:szCs w:val="24"/>
        </w:rPr>
        <w:t xml:space="preserve">musi być opisany </w:t>
      </w:r>
      <w:r w:rsidR="00355A2C" w:rsidRPr="00614D22">
        <w:rPr>
          <w:sz w:val="24"/>
          <w:szCs w:val="24"/>
        </w:rPr>
        <w:t xml:space="preserve">w sposób jednoznaczny, wyczerpujący za pomocą </w:t>
      </w:r>
      <w:r w:rsidR="00614D22" w:rsidRPr="00614D22">
        <w:rPr>
          <w:sz w:val="24"/>
          <w:szCs w:val="24"/>
        </w:rPr>
        <w:t xml:space="preserve">dostatecznie dokładnych i zrozumiałych określeń, </w:t>
      </w:r>
      <w:r w:rsidR="00355A2C" w:rsidRPr="00614D22">
        <w:rPr>
          <w:sz w:val="24"/>
          <w:szCs w:val="24"/>
        </w:rPr>
        <w:t>cech technicznych i jakościowych lub za pomoc</w:t>
      </w:r>
      <w:r w:rsidR="00614D22" w:rsidRPr="00614D22">
        <w:rPr>
          <w:sz w:val="24"/>
          <w:szCs w:val="24"/>
        </w:rPr>
        <w:t>ą</w:t>
      </w:r>
      <w:r w:rsidR="00355A2C" w:rsidRPr="00614D22">
        <w:rPr>
          <w:sz w:val="24"/>
          <w:szCs w:val="24"/>
        </w:rPr>
        <w:t xml:space="preserve"> wymagań funkcjonalnych</w:t>
      </w:r>
      <w:r w:rsidR="00614D22" w:rsidRPr="00614D22">
        <w:rPr>
          <w:sz w:val="24"/>
          <w:szCs w:val="24"/>
        </w:rPr>
        <w:t>, uw</w:t>
      </w:r>
      <w:r w:rsidR="00614D22">
        <w:rPr>
          <w:sz w:val="24"/>
          <w:szCs w:val="24"/>
        </w:rPr>
        <w:t>zględniający wszelkie wymagania</w:t>
      </w:r>
      <w:r w:rsidR="00614D22" w:rsidRPr="00614D22">
        <w:rPr>
          <w:sz w:val="24"/>
          <w:szCs w:val="24"/>
        </w:rPr>
        <w:t xml:space="preserve"> i okoliczności mogące mieć wpływ na sporządzenie oferty</w:t>
      </w:r>
      <w:r>
        <w:rPr>
          <w:sz w:val="24"/>
          <w:szCs w:val="24"/>
        </w:rPr>
        <w:t>.</w:t>
      </w:r>
    </w:p>
    <w:p w:rsidR="00822013" w:rsidRDefault="00822013" w:rsidP="00822013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Oprócz posługiwania się określeniami „jednoznaczny” í „wyczerpujący” ustawa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podaje także, że opisu należy dokonać za pomocą dostatecznie dokładnych i zrozumiałych określeń oraz uwzględniając</w:t>
      </w:r>
      <w:r w:rsidRPr="001A0DD8">
        <w:rPr>
          <w:sz w:val="24"/>
          <w:szCs w:val="24"/>
        </w:rPr>
        <w:t xml:space="preserve"> </w:t>
      </w:r>
      <w:r>
        <w:rPr>
          <w:sz w:val="24"/>
          <w:szCs w:val="24"/>
        </w:rPr>
        <w:t>wszystkie wymagania i okoliczności mogące mieć wpływ na sporządzenie oferty. Do tego typu okoliczności i wymagań należy zaliczyć m.in.:</w:t>
      </w:r>
    </w:p>
    <w:p w:rsidR="00822013" w:rsidRDefault="00822013" w:rsidP="00822013">
      <w:pPr>
        <w:pStyle w:val="Akapitzlist"/>
        <w:numPr>
          <w:ilvl w:val="0"/>
          <w:numId w:val="9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wymogi dotyczące gwarancji na przedmiot zamówienia, jej zakres,</w:t>
      </w:r>
    </w:p>
    <w:p w:rsidR="00822013" w:rsidRDefault="00822013" w:rsidP="00822013">
      <w:pPr>
        <w:pStyle w:val="Akapitzlist"/>
        <w:numPr>
          <w:ilvl w:val="0"/>
          <w:numId w:val="9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okres obowiązkowego świadczenia z gwarancji,</w:t>
      </w:r>
    </w:p>
    <w:p w:rsidR="00822013" w:rsidRDefault="00822013" w:rsidP="00822013">
      <w:pPr>
        <w:pStyle w:val="Akapitzlist"/>
        <w:numPr>
          <w:ilvl w:val="0"/>
          <w:numId w:val="9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miejsce spełnienia świadczenia,</w:t>
      </w:r>
    </w:p>
    <w:p w:rsidR="00822013" w:rsidRPr="00822013" w:rsidRDefault="00822013" w:rsidP="00822013">
      <w:pPr>
        <w:pStyle w:val="Akapitzlist"/>
        <w:numPr>
          <w:ilvl w:val="0"/>
          <w:numId w:val="9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świadczenia dodatkowe związane ze świadczeniem głównym i inne związane z nim obowiązki, jak na przykład obowiązek ubezpieczenia kontraktu.</w:t>
      </w:r>
    </w:p>
    <w:p w:rsidR="00822013" w:rsidRDefault="00822013" w:rsidP="00E27CAD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Jednoznaczny i wyczerpujący opis przedmiotu zamówienia to taki, który zapewnia, że Wykonawcy, bez dokonywania dodatkowych interpretacji, będą w stanie zidentyfikować co jest przedmiotem zamówienia i że wszystkie elementy istotne dla wykonania zamówienia będą w nim uwzględnione.</w:t>
      </w:r>
    </w:p>
    <w:p w:rsidR="00E27CAD" w:rsidRDefault="00E27CAD" w:rsidP="00E27CAD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Przy opisie przedmiotu zamówienia należy unikać wszelkich sformułowań lub parametrów, które by wskazywały na konkretny wyrób albo konkretnego Wykonawcę. Nie można mówić o zachowaniu zasady uczciwej konkurencji w sytuacji, gdy przedmiot zamówienia określony jest w sposób wskazujący na konkretny produkt, przy czym produkt ten nie musi być nazwany przez Zamawiającego, wystarczy, że wymogi i parametry określone są tak, że aby je spełnić, oferent musi dostarczyć jeden konkretny produkt.</w:t>
      </w:r>
    </w:p>
    <w:p w:rsidR="00E27CAD" w:rsidRPr="00E27CAD" w:rsidRDefault="00E27CAD" w:rsidP="00E27CAD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4325A7">
        <w:rPr>
          <w:sz w:val="24"/>
          <w:szCs w:val="24"/>
        </w:rPr>
        <w:t>Opisanie przedmiotu zamówienia poprzez wskazanie konkretnej nazwy handlowej (pochodzenia) musi być uzasadnione obiektywnymi potrzebami Zamawiającego. Przykładowo wskazać można, że zasadę uczciwej konkurencji przy opisie przedmiotu zamówienia narusza np. grupowanie produktów w taki sposób, który z góry eliminuje z postępowania dostawców niezwiązanych umowami z jednym producentem</w:t>
      </w:r>
      <w:r>
        <w:rPr>
          <w:sz w:val="24"/>
          <w:szCs w:val="24"/>
        </w:rPr>
        <w:t>.</w:t>
      </w:r>
    </w:p>
    <w:p w:rsidR="00E05BCF" w:rsidRPr="005941BC" w:rsidRDefault="0077537E" w:rsidP="005941BC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Przedmiotu zamówienia</w:t>
      </w:r>
      <w:r w:rsidR="00A67952">
        <w:rPr>
          <w:sz w:val="24"/>
          <w:szCs w:val="24"/>
        </w:rPr>
        <w:t xml:space="preserve"> nie można opisywać</w:t>
      </w:r>
      <w:r w:rsidR="005941BC">
        <w:rPr>
          <w:sz w:val="24"/>
          <w:szCs w:val="24"/>
        </w:rPr>
        <w:t xml:space="preserve"> przez wskazanie </w:t>
      </w:r>
      <w:r w:rsidR="00614D22">
        <w:rPr>
          <w:sz w:val="24"/>
          <w:szCs w:val="24"/>
        </w:rPr>
        <w:t>znaków towarowych, patentów lub poch</w:t>
      </w:r>
      <w:r w:rsidR="00E05BCF">
        <w:rPr>
          <w:sz w:val="24"/>
          <w:szCs w:val="24"/>
        </w:rPr>
        <w:t xml:space="preserve">odzenia, </w:t>
      </w:r>
      <w:r w:rsidR="005941BC" w:rsidRPr="005941BC">
        <w:rPr>
          <w:b/>
          <w:sz w:val="24"/>
          <w:szCs w:val="24"/>
          <w:u w:val="single"/>
        </w:rPr>
        <w:t>chyba że</w:t>
      </w:r>
      <w:r w:rsidR="005941BC">
        <w:rPr>
          <w:sz w:val="24"/>
          <w:szCs w:val="24"/>
        </w:rPr>
        <w:t xml:space="preserve">: </w:t>
      </w:r>
    </w:p>
    <w:p w:rsidR="00E05BCF" w:rsidRDefault="00A67952" w:rsidP="00E05BCF">
      <w:pPr>
        <w:pStyle w:val="Akapitzlist"/>
        <w:numPr>
          <w:ilvl w:val="0"/>
          <w:numId w:val="5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jest to uzasadnione</w:t>
      </w:r>
      <w:r w:rsidR="00614D22">
        <w:rPr>
          <w:sz w:val="24"/>
          <w:szCs w:val="24"/>
        </w:rPr>
        <w:t xml:space="preserve"> </w:t>
      </w:r>
      <w:r w:rsidR="00E05BCF">
        <w:rPr>
          <w:sz w:val="24"/>
          <w:szCs w:val="24"/>
        </w:rPr>
        <w:t>specyfiką przedmiotu</w:t>
      </w:r>
      <w:r w:rsidR="00614D22">
        <w:rPr>
          <w:sz w:val="24"/>
          <w:szCs w:val="24"/>
        </w:rPr>
        <w:t xml:space="preserve"> zamówienia</w:t>
      </w:r>
      <w:r>
        <w:rPr>
          <w:sz w:val="24"/>
          <w:szCs w:val="24"/>
        </w:rPr>
        <w:t>,</w:t>
      </w:r>
    </w:p>
    <w:p w:rsidR="00E05BCF" w:rsidRDefault="00E05BCF" w:rsidP="00E05BCF">
      <w:pPr>
        <w:pStyle w:val="Akapitzlist"/>
        <w:numPr>
          <w:ilvl w:val="0"/>
          <w:numId w:val="5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Zamawiający nie może opisać przedmiotu zamówienia za pomocą dostatecznie dokładnych określeń, a</w:t>
      </w:r>
    </w:p>
    <w:p w:rsidR="00614D22" w:rsidRPr="00D24BC7" w:rsidRDefault="00E05BCF" w:rsidP="00D24BC7">
      <w:pPr>
        <w:pStyle w:val="Akapitzlist"/>
        <w:numPr>
          <w:ilvl w:val="0"/>
          <w:numId w:val="5"/>
        </w:numPr>
        <w:tabs>
          <w:tab w:val="left" w:pos="284"/>
        </w:tabs>
        <w:jc w:val="both"/>
        <w:rPr>
          <w:sz w:val="24"/>
          <w:szCs w:val="24"/>
        </w:rPr>
      </w:pPr>
      <w:r w:rsidRPr="00D24BC7">
        <w:rPr>
          <w:sz w:val="24"/>
          <w:szCs w:val="24"/>
        </w:rPr>
        <w:t>wskazania takiemu</w:t>
      </w:r>
      <w:r w:rsidR="001523B5">
        <w:rPr>
          <w:sz w:val="24"/>
          <w:szCs w:val="24"/>
        </w:rPr>
        <w:t xml:space="preserve"> </w:t>
      </w:r>
      <w:r w:rsidR="00614D22" w:rsidRPr="00D24BC7">
        <w:rPr>
          <w:sz w:val="24"/>
          <w:szCs w:val="24"/>
        </w:rPr>
        <w:t>towar</w:t>
      </w:r>
      <w:r w:rsidR="00006F26" w:rsidRPr="00D24BC7">
        <w:rPr>
          <w:sz w:val="24"/>
          <w:szCs w:val="24"/>
        </w:rPr>
        <w:t>zyszą wyrazy „lub równoważne”, co nadaje konkretnym produktom charakter przykładowy.</w:t>
      </w:r>
    </w:p>
    <w:p w:rsidR="005941BC" w:rsidRDefault="005941BC" w:rsidP="00E27CAD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D24BC7">
        <w:rPr>
          <w:sz w:val="24"/>
          <w:szCs w:val="24"/>
        </w:rPr>
        <w:t>Poprzez wprowadzenie zwrotu „chyba że” ustawodawca wyraźnie wskazał, iż to Zamawiający musi wykazać, że ze względu na specyfikę przedmiotu zamówienia</w:t>
      </w:r>
      <w:r w:rsidR="0008480F" w:rsidRPr="00D24BC7">
        <w:rPr>
          <w:sz w:val="24"/>
          <w:szCs w:val="24"/>
        </w:rPr>
        <w:t xml:space="preserve"> nie mógł opisać przedmiotu zamówienia za pomocą dost</w:t>
      </w:r>
      <w:r w:rsidR="001B135C">
        <w:rPr>
          <w:sz w:val="24"/>
          <w:szCs w:val="24"/>
        </w:rPr>
        <w:t xml:space="preserve">atecznie dokładnych określeń i </w:t>
      </w:r>
      <w:proofErr w:type="spellStart"/>
      <w:r w:rsidR="001B135C">
        <w:rPr>
          <w:sz w:val="24"/>
          <w:szCs w:val="24"/>
        </w:rPr>
        <w:t>m</w:t>
      </w:r>
      <w:r w:rsidR="0008480F" w:rsidRPr="00D24BC7">
        <w:rPr>
          <w:sz w:val="24"/>
          <w:szCs w:val="24"/>
        </w:rPr>
        <w:t>usiał</w:t>
      </w:r>
      <w:proofErr w:type="spellEnd"/>
      <w:r w:rsidR="0008480F" w:rsidRPr="00D24BC7">
        <w:rPr>
          <w:sz w:val="24"/>
          <w:szCs w:val="24"/>
        </w:rPr>
        <w:t xml:space="preserve"> posłużyć się wskazaniem na znaki towarowe, patenty lub pochodzenie towaru. Tym samym art. 29 ust</w:t>
      </w:r>
      <w:r w:rsidR="00A67952">
        <w:rPr>
          <w:sz w:val="24"/>
          <w:szCs w:val="24"/>
        </w:rPr>
        <w:t>.</w:t>
      </w:r>
      <w:r w:rsidR="0008480F" w:rsidRPr="00D24BC7">
        <w:rPr>
          <w:sz w:val="24"/>
          <w:szCs w:val="24"/>
        </w:rPr>
        <w:t xml:space="preserve"> 3</w:t>
      </w:r>
      <w:r w:rsidR="002F7907" w:rsidRPr="00D24BC7">
        <w:rPr>
          <w:sz w:val="24"/>
          <w:szCs w:val="24"/>
        </w:rPr>
        <w:t xml:space="preserve"> ustawy </w:t>
      </w:r>
      <w:proofErr w:type="spellStart"/>
      <w:r w:rsidR="002F7907" w:rsidRPr="00D24BC7">
        <w:rPr>
          <w:sz w:val="24"/>
          <w:szCs w:val="24"/>
        </w:rPr>
        <w:t>Pzp</w:t>
      </w:r>
      <w:proofErr w:type="spellEnd"/>
      <w:r w:rsidR="0008480F" w:rsidRPr="00D24BC7">
        <w:rPr>
          <w:sz w:val="24"/>
          <w:szCs w:val="24"/>
        </w:rPr>
        <w:t xml:space="preserve"> wprowadzający instytucję tzw. ofert równoważnych </w:t>
      </w:r>
      <w:r w:rsidR="0008480F" w:rsidRPr="001B135C">
        <w:rPr>
          <w:sz w:val="24"/>
          <w:szCs w:val="24"/>
          <w:u w:val="single"/>
        </w:rPr>
        <w:t>ma charakter wyjątku</w:t>
      </w:r>
      <w:r w:rsidR="00ED28D3" w:rsidRPr="00D24BC7">
        <w:rPr>
          <w:sz w:val="24"/>
          <w:szCs w:val="24"/>
        </w:rPr>
        <w:t xml:space="preserve"> </w:t>
      </w:r>
      <w:r w:rsidR="0008480F" w:rsidRPr="00D24BC7">
        <w:rPr>
          <w:sz w:val="24"/>
          <w:szCs w:val="24"/>
        </w:rPr>
        <w:t xml:space="preserve">i </w:t>
      </w:r>
      <w:proofErr w:type="spellStart"/>
      <w:r w:rsidR="00ED28D3" w:rsidRPr="00D24BC7">
        <w:rPr>
          <w:sz w:val="24"/>
          <w:szCs w:val="24"/>
        </w:rPr>
        <w:t>d</w:t>
      </w:r>
      <w:r w:rsidR="0008480F" w:rsidRPr="00D24BC7">
        <w:rPr>
          <w:sz w:val="24"/>
          <w:szCs w:val="24"/>
        </w:rPr>
        <w:t>latego</w:t>
      </w:r>
      <w:proofErr w:type="spellEnd"/>
      <w:r w:rsidR="0008480F" w:rsidRPr="00D24BC7">
        <w:rPr>
          <w:sz w:val="24"/>
          <w:szCs w:val="24"/>
        </w:rPr>
        <w:t xml:space="preserve"> </w:t>
      </w:r>
      <w:r w:rsidR="00ED28D3" w:rsidRPr="00D24BC7">
        <w:rPr>
          <w:sz w:val="24"/>
          <w:szCs w:val="24"/>
        </w:rPr>
        <w:t>może być stosowany w </w:t>
      </w:r>
      <w:r w:rsidR="0008480F" w:rsidRPr="00D24BC7">
        <w:rPr>
          <w:sz w:val="24"/>
          <w:szCs w:val="24"/>
        </w:rPr>
        <w:t>wyjątkowych sytuacjach</w:t>
      </w:r>
      <w:r w:rsidR="00ED28D3" w:rsidRPr="00D24BC7">
        <w:rPr>
          <w:sz w:val="24"/>
          <w:szCs w:val="24"/>
        </w:rPr>
        <w:t xml:space="preserve"> </w:t>
      </w:r>
      <w:r w:rsidR="0008480F" w:rsidRPr="00D24BC7">
        <w:rPr>
          <w:sz w:val="24"/>
          <w:szCs w:val="24"/>
        </w:rPr>
        <w:t>i interpretowany ściśle.</w:t>
      </w:r>
    </w:p>
    <w:p w:rsidR="00647001" w:rsidRPr="001B135C" w:rsidRDefault="00647001" w:rsidP="00E27CAD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4"/>
          <w:szCs w:val="24"/>
          <w:u w:val="single"/>
        </w:rPr>
      </w:pPr>
      <w:r w:rsidRPr="001B135C">
        <w:rPr>
          <w:sz w:val="24"/>
          <w:szCs w:val="24"/>
        </w:rPr>
        <w:t>Choć literalne b</w:t>
      </w:r>
      <w:r w:rsidR="00A67952">
        <w:rPr>
          <w:sz w:val="24"/>
          <w:szCs w:val="24"/>
        </w:rPr>
        <w:t xml:space="preserve">rzmienie </w:t>
      </w:r>
      <w:r w:rsidR="0013705A" w:rsidRPr="001B135C">
        <w:rPr>
          <w:sz w:val="24"/>
          <w:szCs w:val="24"/>
        </w:rPr>
        <w:t>art. 29 ust</w:t>
      </w:r>
      <w:r w:rsidR="00A67952">
        <w:rPr>
          <w:sz w:val="24"/>
          <w:szCs w:val="24"/>
        </w:rPr>
        <w:t>.</w:t>
      </w:r>
      <w:r w:rsidR="0013705A" w:rsidRPr="001B135C">
        <w:rPr>
          <w:sz w:val="24"/>
          <w:szCs w:val="24"/>
        </w:rPr>
        <w:t xml:space="preserve"> 3 ustawy </w:t>
      </w:r>
      <w:proofErr w:type="spellStart"/>
      <w:r w:rsidR="0013705A" w:rsidRPr="001B135C">
        <w:rPr>
          <w:sz w:val="24"/>
          <w:szCs w:val="24"/>
        </w:rPr>
        <w:t>P</w:t>
      </w:r>
      <w:r w:rsidRPr="001B135C">
        <w:rPr>
          <w:sz w:val="24"/>
          <w:szCs w:val="24"/>
        </w:rPr>
        <w:t>zp</w:t>
      </w:r>
      <w:proofErr w:type="spellEnd"/>
      <w:r w:rsidRPr="001B135C">
        <w:rPr>
          <w:sz w:val="24"/>
          <w:szCs w:val="24"/>
        </w:rPr>
        <w:t xml:space="preserve"> za wystarczające uznaje, ab</w:t>
      </w:r>
      <w:r w:rsidR="0013705A" w:rsidRPr="001B135C">
        <w:rPr>
          <w:sz w:val="24"/>
          <w:szCs w:val="24"/>
        </w:rPr>
        <w:t>y wskazaniu znaków towarowych,</w:t>
      </w:r>
      <w:r w:rsidR="00A67952">
        <w:rPr>
          <w:sz w:val="24"/>
          <w:szCs w:val="24"/>
        </w:rPr>
        <w:t xml:space="preserve"> patentów</w:t>
      </w:r>
      <w:r w:rsidRPr="001B135C">
        <w:rPr>
          <w:sz w:val="24"/>
          <w:szCs w:val="24"/>
        </w:rPr>
        <w:t xml:space="preserve"> lub pochodzenia towarzy</w:t>
      </w:r>
      <w:r w:rsidR="0013705A" w:rsidRPr="001B135C">
        <w:rPr>
          <w:sz w:val="24"/>
          <w:szCs w:val="24"/>
        </w:rPr>
        <w:t>szyły wyrazy „lub równoważny” to w</w:t>
      </w:r>
      <w:r w:rsidR="002029AA" w:rsidRPr="001B135C">
        <w:rPr>
          <w:sz w:val="24"/>
          <w:szCs w:val="24"/>
        </w:rPr>
        <w:t> </w:t>
      </w:r>
      <w:r w:rsidR="0013705A" w:rsidRPr="001B135C">
        <w:rPr>
          <w:sz w:val="24"/>
          <w:szCs w:val="24"/>
        </w:rPr>
        <w:t>interesie Zamawiającego jest określenie co najmniej minimalnych rozwią</w:t>
      </w:r>
      <w:r w:rsidR="001523B5">
        <w:rPr>
          <w:sz w:val="24"/>
          <w:szCs w:val="24"/>
        </w:rPr>
        <w:t>zań, które mogą spełniać i mają</w:t>
      </w:r>
      <w:r w:rsidRPr="001B135C">
        <w:rPr>
          <w:sz w:val="24"/>
          <w:szCs w:val="24"/>
        </w:rPr>
        <w:t xml:space="preserve"> </w:t>
      </w:r>
      <w:r w:rsidR="006043C3" w:rsidRPr="001B135C">
        <w:rPr>
          <w:sz w:val="24"/>
          <w:szCs w:val="24"/>
        </w:rPr>
        <w:t>zostać zapewnione przez produkty równoważne. Określenie chociażby minimalnych wymagań w zakresie parametrów oferowanych wyrobów pozwoli uznać ten wyrób za równoważny lub nie.</w:t>
      </w:r>
      <w:r w:rsidR="001523B5">
        <w:rPr>
          <w:sz w:val="24"/>
          <w:szCs w:val="24"/>
        </w:rPr>
        <w:t xml:space="preserve"> Opisanie warunku równoważności</w:t>
      </w:r>
      <w:r w:rsidR="006043C3" w:rsidRPr="001B135C">
        <w:rPr>
          <w:sz w:val="24"/>
          <w:szCs w:val="24"/>
        </w:rPr>
        <w:t xml:space="preserve"> musi zostać tak sformułowane</w:t>
      </w:r>
      <w:r w:rsidR="0062495A" w:rsidRPr="001B135C">
        <w:rPr>
          <w:sz w:val="24"/>
          <w:szCs w:val="24"/>
        </w:rPr>
        <w:t>,</w:t>
      </w:r>
      <w:r w:rsidR="006043C3" w:rsidRPr="001B135C">
        <w:rPr>
          <w:sz w:val="24"/>
          <w:szCs w:val="24"/>
        </w:rPr>
        <w:t xml:space="preserve"> aby Wykonawca mógł wykazać, iż oferowany przez niego produkt spełnia wymagania określone przez Zamawiającego. </w:t>
      </w:r>
      <w:r w:rsidR="006043C3" w:rsidRPr="001B135C">
        <w:rPr>
          <w:sz w:val="24"/>
          <w:szCs w:val="24"/>
          <w:u w:val="single"/>
        </w:rPr>
        <w:t>Inne zachowanie Zamawiającego może zostać uznane za naruszenie obowiązku zachowania uczciwej konkurencji.</w:t>
      </w:r>
    </w:p>
    <w:p w:rsidR="00D24BC7" w:rsidRDefault="00D24BC7" w:rsidP="00822013">
      <w:pPr>
        <w:pStyle w:val="Akapitzlist"/>
        <w:numPr>
          <w:ilvl w:val="0"/>
          <w:numId w:val="4"/>
        </w:numPr>
        <w:tabs>
          <w:tab w:val="left" w:pos="284"/>
        </w:tabs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Istotne jest, aby w sytuacji, gdy</w:t>
      </w:r>
      <w:r w:rsidR="001523B5">
        <w:rPr>
          <w:sz w:val="24"/>
          <w:szCs w:val="24"/>
        </w:rPr>
        <w:t xml:space="preserve"> </w:t>
      </w:r>
      <w:r>
        <w:rPr>
          <w:sz w:val="24"/>
          <w:szCs w:val="24"/>
        </w:rPr>
        <w:t>Zamawiający dokonuje opisu przedmiotu zamówienia, korzystając z dyspozycji art. 29 ust</w:t>
      </w:r>
      <w:r w:rsidR="001523B5">
        <w:rPr>
          <w:sz w:val="24"/>
          <w:szCs w:val="24"/>
        </w:rPr>
        <w:t>.</w:t>
      </w:r>
      <w:r>
        <w:rPr>
          <w:sz w:val="24"/>
          <w:szCs w:val="24"/>
        </w:rPr>
        <w:t xml:space="preserve"> 3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, </w:t>
      </w:r>
      <w:r w:rsidRPr="001B135C">
        <w:rPr>
          <w:sz w:val="24"/>
          <w:szCs w:val="24"/>
          <w:u w:val="single"/>
        </w:rPr>
        <w:t>sprecyzował zakres minimalnych parametrów równ</w:t>
      </w:r>
      <w:r w:rsidR="001523B5">
        <w:rPr>
          <w:sz w:val="24"/>
          <w:szCs w:val="24"/>
          <w:u w:val="single"/>
        </w:rPr>
        <w:t>oważności przedmiotu zamówienia</w:t>
      </w:r>
      <w:r w:rsidRPr="001B135C">
        <w:rPr>
          <w:sz w:val="24"/>
          <w:szCs w:val="24"/>
          <w:u w:val="single"/>
        </w:rPr>
        <w:t xml:space="preserve"> oraz metod oceny ich spełnienia</w:t>
      </w:r>
      <w:r w:rsidR="001523B5">
        <w:rPr>
          <w:sz w:val="24"/>
          <w:szCs w:val="24"/>
          <w:u w:val="single"/>
        </w:rPr>
        <w:t xml:space="preserve">, </w:t>
      </w:r>
      <w:r w:rsidRPr="001B135C">
        <w:rPr>
          <w:sz w:val="24"/>
          <w:szCs w:val="24"/>
          <w:u w:val="single"/>
        </w:rPr>
        <w:t>w oparciu o które dokona oceny złożonej oferty</w:t>
      </w:r>
      <w:r>
        <w:rPr>
          <w:sz w:val="24"/>
          <w:szCs w:val="24"/>
        </w:rPr>
        <w:t>. Rozwiązanie równoważne nie może oznaczać, że inne zaproponowane w ramach tej równoważności urządzenie czy wyrób ma spełniać wszystkie wymagania przedmiotu referencyjnego wskazanego przez Zamawiającego.</w:t>
      </w:r>
    </w:p>
    <w:p w:rsidR="00E27CAD" w:rsidRDefault="00E27CAD" w:rsidP="00822013">
      <w:pPr>
        <w:pStyle w:val="Akapitzlist"/>
        <w:numPr>
          <w:ilvl w:val="0"/>
          <w:numId w:val="4"/>
        </w:numPr>
        <w:tabs>
          <w:tab w:val="left" w:pos="284"/>
        </w:tabs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Urządzenie czy w</w:t>
      </w:r>
      <w:r w:rsidRPr="001B135C">
        <w:rPr>
          <w:sz w:val="24"/>
          <w:szCs w:val="24"/>
        </w:rPr>
        <w:t>yrób równoważny nie mu</w:t>
      </w:r>
      <w:r>
        <w:rPr>
          <w:sz w:val="24"/>
          <w:szCs w:val="24"/>
        </w:rPr>
        <w:t>si się charakteryzować w pełni</w:t>
      </w:r>
      <w:r w:rsidRPr="001B135C">
        <w:rPr>
          <w:sz w:val="24"/>
          <w:szCs w:val="24"/>
        </w:rPr>
        <w:t xml:space="preserve"> identycznymi cechami i parametrami jak</w:t>
      </w:r>
      <w:r>
        <w:rPr>
          <w:sz w:val="24"/>
          <w:szCs w:val="24"/>
        </w:rPr>
        <w:t xml:space="preserve"> opisany wprost w SIWZ, a Z</w:t>
      </w:r>
      <w:r w:rsidRPr="001B135C">
        <w:rPr>
          <w:sz w:val="24"/>
          <w:szCs w:val="24"/>
        </w:rPr>
        <w:t xml:space="preserve">amawiający </w:t>
      </w:r>
      <w:r>
        <w:rPr>
          <w:sz w:val="24"/>
          <w:szCs w:val="24"/>
        </w:rPr>
        <w:t>w</w:t>
      </w:r>
      <w:r w:rsidRPr="001B135C">
        <w:rPr>
          <w:sz w:val="24"/>
          <w:szCs w:val="24"/>
        </w:rPr>
        <w:t xml:space="preserve"> przypadku dopuszczenia składania ofert równoważnych jest zobowiązany do dokładnego określenia wymagań dotyczących takich ofert.</w:t>
      </w:r>
    </w:p>
    <w:p w:rsidR="00E27CAD" w:rsidRDefault="00E27CAD" w:rsidP="00E27CAD">
      <w:pPr>
        <w:pStyle w:val="Akapitzlist"/>
        <w:numPr>
          <w:ilvl w:val="0"/>
          <w:numId w:val="4"/>
        </w:numPr>
        <w:tabs>
          <w:tab w:val="left" w:pos="284"/>
        </w:tabs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Opisując sposób spełnienia równoważności danego produktu należy wskazać dopuszczalne odstępstwa zaoferowanego urządzenia czy wyrobu równoważnego za pomocą wartości stanowiących katalog zamknięty, używając określeń np. nie cięższy niż i nie lżejszy niż, mający wymiar nie większy i nie mniejszy, nie szerszy i nie dłuższy, posiadający ilość nie mniej i nie więcej niż itp. Dopiero przy tak opisanych wymogach Wykonawca ma obowiązek udowodnienia, że oferowany przez niego produkt mieści się w tych ściśle określonych zakresach równoważności.</w:t>
      </w:r>
    </w:p>
    <w:p w:rsidR="004325A7" w:rsidRPr="004325A7" w:rsidRDefault="004325A7" w:rsidP="00E27CAD">
      <w:pPr>
        <w:pStyle w:val="Akapitzlist"/>
        <w:numPr>
          <w:ilvl w:val="0"/>
          <w:numId w:val="4"/>
        </w:numPr>
        <w:tabs>
          <w:tab w:val="left" w:pos="284"/>
        </w:tabs>
        <w:ind w:left="284" w:hanging="426"/>
        <w:jc w:val="both"/>
        <w:rPr>
          <w:sz w:val="24"/>
          <w:szCs w:val="24"/>
        </w:rPr>
      </w:pPr>
      <w:r w:rsidRPr="00283D8B">
        <w:rPr>
          <w:sz w:val="24"/>
          <w:szCs w:val="24"/>
        </w:rPr>
        <w:t xml:space="preserve">Dla oceny </w:t>
      </w:r>
      <w:r w:rsidR="001523B5" w:rsidRPr="00283D8B">
        <w:rPr>
          <w:sz w:val="24"/>
          <w:szCs w:val="24"/>
        </w:rPr>
        <w:t xml:space="preserve">ofert </w:t>
      </w:r>
      <w:r w:rsidRPr="00283D8B">
        <w:rPr>
          <w:sz w:val="24"/>
          <w:szCs w:val="24"/>
        </w:rPr>
        <w:t>w postępowaniach, w których przewidziano składanie ofert równoważnych nie wystarczy językowa wykładnia pojęcia równoważnoś</w:t>
      </w:r>
      <w:r w:rsidR="001523B5" w:rsidRPr="00283D8B">
        <w:rPr>
          <w:sz w:val="24"/>
          <w:szCs w:val="24"/>
        </w:rPr>
        <w:t>ci</w:t>
      </w:r>
      <w:r w:rsidRPr="00283D8B">
        <w:rPr>
          <w:sz w:val="24"/>
          <w:szCs w:val="24"/>
        </w:rPr>
        <w:t>, ale zawarte określenia u</w:t>
      </w:r>
      <w:r w:rsidR="001523B5" w:rsidRPr="00283D8B">
        <w:rPr>
          <w:sz w:val="24"/>
          <w:szCs w:val="24"/>
        </w:rPr>
        <w:t>ściślające wymogi Zamawiającego</w:t>
      </w:r>
      <w:r w:rsidRPr="00283D8B">
        <w:rPr>
          <w:sz w:val="24"/>
          <w:szCs w:val="24"/>
        </w:rPr>
        <w:t xml:space="preserve"> odnoszące się do </w:t>
      </w:r>
      <w:r w:rsidR="001523B5" w:rsidRPr="00283D8B">
        <w:rPr>
          <w:sz w:val="24"/>
          <w:szCs w:val="24"/>
        </w:rPr>
        <w:t>określonego</w:t>
      </w:r>
      <w:r w:rsidRPr="00283D8B">
        <w:rPr>
          <w:sz w:val="24"/>
          <w:szCs w:val="24"/>
        </w:rPr>
        <w:t xml:space="preserve"> przez niego zakresu dopuszczalności ofert.</w:t>
      </w:r>
      <w:r>
        <w:rPr>
          <w:sz w:val="24"/>
          <w:szCs w:val="24"/>
        </w:rPr>
        <w:t xml:space="preserve"> W</w:t>
      </w:r>
      <w:r w:rsidRPr="004325A7">
        <w:rPr>
          <w:sz w:val="24"/>
          <w:szCs w:val="24"/>
        </w:rPr>
        <w:t xml:space="preserve"> przeciwnym razie </w:t>
      </w:r>
      <w:r w:rsidR="001523B5">
        <w:rPr>
          <w:sz w:val="24"/>
          <w:szCs w:val="24"/>
        </w:rPr>
        <w:t xml:space="preserve">Zamawiający </w:t>
      </w:r>
      <w:r w:rsidRPr="004325A7">
        <w:rPr>
          <w:sz w:val="24"/>
          <w:szCs w:val="24"/>
        </w:rPr>
        <w:t xml:space="preserve">nie będzie w stanie ocenić </w:t>
      </w:r>
      <w:r w:rsidR="001523B5" w:rsidRPr="004325A7">
        <w:rPr>
          <w:sz w:val="24"/>
          <w:szCs w:val="24"/>
        </w:rPr>
        <w:t xml:space="preserve">złożonych </w:t>
      </w:r>
      <w:r w:rsidRPr="004325A7">
        <w:rPr>
          <w:sz w:val="24"/>
          <w:szCs w:val="24"/>
        </w:rPr>
        <w:t xml:space="preserve">ofert pod kątem własnych potrzeb oraz </w:t>
      </w:r>
      <w:r w:rsidR="001523B5">
        <w:rPr>
          <w:sz w:val="24"/>
          <w:szCs w:val="24"/>
        </w:rPr>
        <w:t xml:space="preserve">ich </w:t>
      </w:r>
      <w:r w:rsidRPr="004325A7">
        <w:rPr>
          <w:sz w:val="24"/>
          <w:szCs w:val="24"/>
        </w:rPr>
        <w:t xml:space="preserve">porównać. Określenie chociażby minimalnych wymagań w zakresie parametrów oferowanych wyrobów pozwala uznać ów </w:t>
      </w:r>
      <w:r>
        <w:rPr>
          <w:sz w:val="24"/>
          <w:szCs w:val="24"/>
        </w:rPr>
        <w:t>wy</w:t>
      </w:r>
      <w:r w:rsidR="001523B5">
        <w:rPr>
          <w:sz w:val="24"/>
          <w:szCs w:val="24"/>
        </w:rPr>
        <w:t>rób</w:t>
      </w:r>
      <w:r>
        <w:rPr>
          <w:sz w:val="24"/>
          <w:szCs w:val="24"/>
        </w:rPr>
        <w:t xml:space="preserve"> za równoważny bądź nie. W</w:t>
      </w:r>
      <w:r w:rsidRPr="004325A7">
        <w:rPr>
          <w:sz w:val="24"/>
          <w:szCs w:val="24"/>
        </w:rPr>
        <w:t xml:space="preserve"> konsekwencji dopuści ofertę do oceny, bądź </w:t>
      </w:r>
      <w:r>
        <w:rPr>
          <w:sz w:val="24"/>
          <w:szCs w:val="24"/>
        </w:rPr>
        <w:t>ją odrzuci jako niezgodną z jego wymaganiami</w:t>
      </w:r>
      <w:r w:rsidRPr="004325A7">
        <w:rPr>
          <w:sz w:val="24"/>
          <w:szCs w:val="24"/>
        </w:rPr>
        <w:t>.</w:t>
      </w:r>
    </w:p>
    <w:p w:rsidR="00AF366A" w:rsidRPr="00E27CAD" w:rsidRDefault="00EF7C78" w:rsidP="00E27CAD">
      <w:pPr>
        <w:pStyle w:val="Akapitzlist"/>
        <w:numPr>
          <w:ilvl w:val="0"/>
          <w:numId w:val="4"/>
        </w:numPr>
        <w:tabs>
          <w:tab w:val="left" w:pos="284"/>
        </w:tabs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Naruszenie zasady uczc</w:t>
      </w:r>
      <w:r w:rsidR="00E27CAD">
        <w:rPr>
          <w:sz w:val="24"/>
          <w:szCs w:val="24"/>
        </w:rPr>
        <w:t>iwej konkurencji z uwagi na nie</w:t>
      </w:r>
      <w:r>
        <w:rPr>
          <w:sz w:val="24"/>
          <w:szCs w:val="24"/>
        </w:rPr>
        <w:t>właściwe</w:t>
      </w:r>
      <w:r w:rsidR="001523B5">
        <w:rPr>
          <w:sz w:val="24"/>
          <w:szCs w:val="24"/>
        </w:rPr>
        <w:t xml:space="preserve"> </w:t>
      </w:r>
      <w:r>
        <w:rPr>
          <w:sz w:val="24"/>
          <w:szCs w:val="24"/>
        </w:rPr>
        <w:t>opisanie przedmiotu zamówienia</w:t>
      </w:r>
      <w:r w:rsidR="001523B5">
        <w:rPr>
          <w:sz w:val="24"/>
          <w:szCs w:val="24"/>
        </w:rPr>
        <w:t xml:space="preserve"> </w:t>
      </w:r>
      <w:r>
        <w:rPr>
          <w:sz w:val="24"/>
          <w:szCs w:val="24"/>
        </w:rPr>
        <w:t>zachodzi, między innymi w sytuacji, gdy Zamawiający opisze przedmiot zamówienia przez zbytnie dookreślenie przedmiotu powodujące, bez uzasadnienia, wskazanie na konkretny produkt. Naruszenie to polega również na dookreśleniu</w:t>
      </w:r>
      <w:r w:rsidR="001523B5">
        <w:rPr>
          <w:sz w:val="24"/>
          <w:szCs w:val="24"/>
        </w:rPr>
        <w:t xml:space="preserve"> </w:t>
      </w:r>
      <w:r>
        <w:rPr>
          <w:sz w:val="24"/>
          <w:szCs w:val="24"/>
        </w:rPr>
        <w:t>opisu przedmiotu zamówienia w taki sposób, który nie znajduje uzasadnienia ani w technicznym ani funkcjonalnym uregulowaniu potrzeb Zamawiającego (zachcianka).</w:t>
      </w:r>
    </w:p>
    <w:p w:rsidR="00E27CAD" w:rsidRPr="004325A7" w:rsidRDefault="00E27CAD" w:rsidP="00E27CAD">
      <w:pPr>
        <w:pStyle w:val="Akapitzlist"/>
        <w:numPr>
          <w:ilvl w:val="0"/>
          <w:numId w:val="4"/>
        </w:numPr>
        <w:tabs>
          <w:tab w:val="left" w:pos="284"/>
        </w:tabs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Brak wskazania minimalnych wymagań w zakresie równoważności przy jednoczesnym wskazaniu konkretnego produktu stanowi naruszenie zasady uczciwej konkurencji i równego dostępu do zamówienia publicznego, o których mowa w art. 7 ust. 1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D578F5" w:rsidRDefault="00D578F5" w:rsidP="00D578F5">
      <w:pPr>
        <w:pStyle w:val="Akapitzlist"/>
        <w:tabs>
          <w:tab w:val="left" w:pos="284"/>
        </w:tabs>
        <w:ind w:left="284"/>
        <w:jc w:val="both"/>
        <w:rPr>
          <w:sz w:val="24"/>
          <w:szCs w:val="24"/>
        </w:rPr>
      </w:pPr>
    </w:p>
    <w:p w:rsidR="00442C59" w:rsidRDefault="004865BE" w:rsidP="00D578F5">
      <w:pPr>
        <w:pStyle w:val="Akapitzlist"/>
        <w:numPr>
          <w:ilvl w:val="0"/>
          <w:numId w:val="7"/>
        </w:numPr>
        <w:tabs>
          <w:tab w:val="left" w:pos="284"/>
        </w:tabs>
        <w:ind w:left="142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Wskazówki</w:t>
      </w:r>
    </w:p>
    <w:p w:rsidR="006D7C3C" w:rsidRDefault="006D7C3C" w:rsidP="006D7C3C">
      <w:pPr>
        <w:pStyle w:val="Akapitzlist"/>
        <w:tabs>
          <w:tab w:val="left" w:pos="284"/>
        </w:tabs>
        <w:ind w:left="142"/>
        <w:jc w:val="both"/>
        <w:rPr>
          <w:b/>
          <w:sz w:val="24"/>
          <w:szCs w:val="24"/>
        </w:rPr>
      </w:pPr>
    </w:p>
    <w:p w:rsidR="00D578F5" w:rsidRPr="00D578F5" w:rsidRDefault="00D578F5" w:rsidP="00D578F5">
      <w:pPr>
        <w:pStyle w:val="Akapitzlist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Opis przedmiotu zamówienia powinien być na tyle jasny, aby pozwalał na identyfikację zamówienia.</w:t>
      </w:r>
    </w:p>
    <w:p w:rsidR="00D578F5" w:rsidRPr="006D7C3C" w:rsidRDefault="00D578F5" w:rsidP="00D578F5">
      <w:pPr>
        <w:pStyle w:val="Akapitzlist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Zwroty użyte do określenia przedmiotu zamówienia </w:t>
      </w:r>
      <w:r w:rsidR="001523B5">
        <w:rPr>
          <w:sz w:val="24"/>
          <w:szCs w:val="24"/>
        </w:rPr>
        <w:t>winny być dokładnie określone i </w:t>
      </w:r>
      <w:r w:rsidR="006D7C3C">
        <w:rPr>
          <w:sz w:val="24"/>
          <w:szCs w:val="24"/>
        </w:rPr>
        <w:t>niebudzące wątpliwości, a zagadnienie winno być przedstawione wszechstronnie, dogłębnie i szczegółowo.</w:t>
      </w:r>
    </w:p>
    <w:p w:rsidR="006D7C3C" w:rsidRPr="006D7C3C" w:rsidRDefault="006D7C3C" w:rsidP="00D578F5">
      <w:pPr>
        <w:pStyle w:val="Akapitzlist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Użyte określenia do sformułowania opisu przedmiotu zamówienia powinny być zawsze rozważ</w:t>
      </w:r>
      <w:r w:rsidR="00E27CAD">
        <w:rPr>
          <w:sz w:val="24"/>
          <w:szCs w:val="24"/>
        </w:rPr>
        <w:t>a</w:t>
      </w:r>
      <w:r>
        <w:rPr>
          <w:sz w:val="24"/>
          <w:szCs w:val="24"/>
        </w:rPr>
        <w:t>ne w kontekście konkretnego stanu faktycznego.</w:t>
      </w:r>
    </w:p>
    <w:p w:rsidR="006E7A14" w:rsidRPr="00822013" w:rsidRDefault="006D7C3C" w:rsidP="00822013">
      <w:pPr>
        <w:pStyle w:val="Akapitzlist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6D7C3C">
        <w:rPr>
          <w:sz w:val="24"/>
          <w:szCs w:val="24"/>
        </w:rPr>
        <w:t xml:space="preserve">Należy pamiętać, że określenia te </w:t>
      </w:r>
      <w:r w:rsidR="00A65B3B">
        <w:rPr>
          <w:sz w:val="24"/>
          <w:szCs w:val="24"/>
        </w:rPr>
        <w:t xml:space="preserve">kierowane są do profesjonalistów zajmujących się zawodowo wykonywaniem prac danego rodzaju, którzy mają możliwość odczytania zamówienia w ten sposób, który umożliwi złożenie stosownej oferty i zapewni wykonanie </w:t>
      </w:r>
      <w:r w:rsidR="006E7A14">
        <w:rPr>
          <w:sz w:val="24"/>
          <w:szCs w:val="24"/>
        </w:rPr>
        <w:t>umowy zgodnie z oczekiwaniami Zamawiającego.</w:t>
      </w:r>
    </w:p>
    <w:p w:rsidR="006E7A14" w:rsidRDefault="004865BE" w:rsidP="00D578F5">
      <w:pPr>
        <w:pStyle w:val="Akapitzlist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Opis przedmiotu zamówienia powinien pozwolić z </w:t>
      </w:r>
      <w:r w:rsidRPr="004865BE">
        <w:rPr>
          <w:sz w:val="24"/>
          <w:szCs w:val="24"/>
          <w:u w:val="single"/>
        </w:rPr>
        <w:t>jednej strony</w:t>
      </w:r>
      <w:r>
        <w:rPr>
          <w:sz w:val="24"/>
          <w:szCs w:val="24"/>
        </w:rPr>
        <w:t xml:space="preserve"> Wykonawcom na przygotowanie oferty i obliczenie ceny z uwzględnieniem wszystkich czynników </w:t>
      </w:r>
      <w:r w:rsidR="00822013">
        <w:rPr>
          <w:sz w:val="24"/>
          <w:szCs w:val="24"/>
        </w:rPr>
        <w:t xml:space="preserve">na nią </w:t>
      </w:r>
      <w:r>
        <w:rPr>
          <w:sz w:val="24"/>
          <w:szCs w:val="24"/>
        </w:rPr>
        <w:t xml:space="preserve">wpływających, </w:t>
      </w:r>
      <w:r w:rsidRPr="004865BE">
        <w:rPr>
          <w:sz w:val="24"/>
          <w:szCs w:val="24"/>
          <w:u w:val="single"/>
        </w:rPr>
        <w:t>z drugiej</w:t>
      </w:r>
      <w:r>
        <w:rPr>
          <w:sz w:val="24"/>
          <w:szCs w:val="24"/>
        </w:rPr>
        <w:t xml:space="preserve"> zaś Zamawiającemu na dokonanie obiektywnej oceny ofert.</w:t>
      </w:r>
    </w:p>
    <w:p w:rsidR="003F57DE" w:rsidRPr="003F57DE" w:rsidRDefault="003F57DE" w:rsidP="002240F1">
      <w:pPr>
        <w:pStyle w:val="Akapitzlist"/>
        <w:tabs>
          <w:tab w:val="left" w:pos="284"/>
        </w:tabs>
        <w:ind w:left="426"/>
        <w:jc w:val="both"/>
        <w:rPr>
          <w:sz w:val="24"/>
          <w:szCs w:val="24"/>
        </w:rPr>
      </w:pPr>
      <w:bookmarkStart w:id="0" w:name="_GoBack"/>
      <w:bookmarkEnd w:id="0"/>
    </w:p>
    <w:p w:rsidR="001A0DD8" w:rsidRPr="006D7C3C" w:rsidRDefault="001A0DD8" w:rsidP="003F57DE">
      <w:pPr>
        <w:pStyle w:val="Akapitzlist"/>
        <w:tabs>
          <w:tab w:val="left" w:pos="284"/>
        </w:tabs>
        <w:ind w:left="426" w:hanging="284"/>
        <w:jc w:val="both"/>
        <w:rPr>
          <w:sz w:val="24"/>
          <w:szCs w:val="24"/>
        </w:rPr>
      </w:pPr>
    </w:p>
    <w:p w:rsidR="00D578F5" w:rsidRPr="00D578F5" w:rsidRDefault="00D578F5" w:rsidP="00D578F5">
      <w:pPr>
        <w:pStyle w:val="Akapitzlist"/>
        <w:tabs>
          <w:tab w:val="left" w:pos="284"/>
        </w:tabs>
        <w:ind w:left="578"/>
        <w:jc w:val="both"/>
        <w:rPr>
          <w:sz w:val="24"/>
          <w:szCs w:val="24"/>
        </w:rPr>
      </w:pPr>
    </w:p>
    <w:sectPr w:rsidR="00D578F5" w:rsidRPr="00D578F5" w:rsidSect="00822013">
      <w:footerReference w:type="default" r:id="rId8"/>
      <w:pgSz w:w="11906" w:h="16838"/>
      <w:pgMar w:top="709" w:right="1274" w:bottom="567" w:left="1417" w:header="708" w:footer="1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5A7" w:rsidRDefault="004325A7" w:rsidP="004325A7">
      <w:pPr>
        <w:spacing w:after="0" w:line="240" w:lineRule="auto"/>
      </w:pPr>
      <w:r>
        <w:separator/>
      </w:r>
    </w:p>
  </w:endnote>
  <w:endnote w:type="continuationSeparator" w:id="0">
    <w:p w:rsidR="004325A7" w:rsidRDefault="004325A7" w:rsidP="00432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615431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822013" w:rsidRPr="00822013" w:rsidRDefault="00822013">
        <w:pPr>
          <w:pStyle w:val="Stopka"/>
          <w:jc w:val="right"/>
          <w:rPr>
            <w:sz w:val="28"/>
            <w:szCs w:val="28"/>
          </w:rPr>
        </w:pPr>
        <w:r w:rsidRPr="00822013">
          <w:rPr>
            <w:sz w:val="20"/>
            <w:szCs w:val="20"/>
          </w:rPr>
          <w:t xml:space="preserve">str. </w:t>
        </w:r>
        <w:r w:rsidRPr="00822013">
          <w:rPr>
            <w:sz w:val="20"/>
            <w:szCs w:val="20"/>
          </w:rPr>
          <w:fldChar w:fldCharType="begin"/>
        </w:r>
        <w:r w:rsidRPr="00822013">
          <w:rPr>
            <w:sz w:val="20"/>
            <w:szCs w:val="20"/>
          </w:rPr>
          <w:instrText xml:space="preserve"> PAGE    \* MERGEFORMAT </w:instrText>
        </w:r>
        <w:r w:rsidRPr="00822013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3</w:t>
        </w:r>
        <w:r w:rsidRPr="00822013">
          <w:rPr>
            <w:sz w:val="20"/>
            <w:szCs w:val="20"/>
          </w:rPr>
          <w:fldChar w:fldCharType="end"/>
        </w:r>
      </w:p>
    </w:sdtContent>
  </w:sdt>
  <w:p w:rsidR="00822013" w:rsidRDefault="008220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5A7" w:rsidRDefault="004325A7" w:rsidP="004325A7">
      <w:pPr>
        <w:spacing w:after="0" w:line="240" w:lineRule="auto"/>
      </w:pPr>
      <w:r>
        <w:separator/>
      </w:r>
    </w:p>
  </w:footnote>
  <w:footnote w:type="continuationSeparator" w:id="0">
    <w:p w:rsidR="004325A7" w:rsidRDefault="004325A7" w:rsidP="00432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92F"/>
    <w:multiLevelType w:val="hybridMultilevel"/>
    <w:tmpl w:val="D604DD64"/>
    <w:lvl w:ilvl="0" w:tplc="5D7E43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174DD"/>
    <w:multiLevelType w:val="hybridMultilevel"/>
    <w:tmpl w:val="6CC65022"/>
    <w:lvl w:ilvl="0" w:tplc="67DCFA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56060"/>
    <w:multiLevelType w:val="hybridMultilevel"/>
    <w:tmpl w:val="0A70BB9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DF30EE4"/>
    <w:multiLevelType w:val="hybridMultilevel"/>
    <w:tmpl w:val="FCCE12EC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4065EBA"/>
    <w:multiLevelType w:val="hybridMultilevel"/>
    <w:tmpl w:val="ADD6977E"/>
    <w:lvl w:ilvl="0" w:tplc="B6BA790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D3C85"/>
    <w:multiLevelType w:val="hybridMultilevel"/>
    <w:tmpl w:val="539E59B4"/>
    <w:lvl w:ilvl="0" w:tplc="DA5ECE10">
      <w:start w:val="1"/>
      <w:numFmt w:val="decimal"/>
      <w:lvlText w:val="%1)"/>
      <w:lvlJc w:val="left"/>
      <w:pPr>
        <w:ind w:left="129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6">
    <w:nsid w:val="4C604254"/>
    <w:multiLevelType w:val="hybridMultilevel"/>
    <w:tmpl w:val="0A387308"/>
    <w:lvl w:ilvl="0" w:tplc="4DC29126">
      <w:start w:val="3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4F4C589C"/>
    <w:multiLevelType w:val="hybridMultilevel"/>
    <w:tmpl w:val="3F08AB60"/>
    <w:lvl w:ilvl="0" w:tplc="B882D298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C4996"/>
    <w:multiLevelType w:val="hybridMultilevel"/>
    <w:tmpl w:val="9FDC26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3CB56E2"/>
    <w:multiLevelType w:val="hybridMultilevel"/>
    <w:tmpl w:val="F6302FB0"/>
    <w:lvl w:ilvl="0" w:tplc="B6BA790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242EB2"/>
    <w:multiLevelType w:val="hybridMultilevel"/>
    <w:tmpl w:val="41A25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0"/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623"/>
    <w:rsid w:val="0000368D"/>
    <w:rsid w:val="00006F26"/>
    <w:rsid w:val="00011FB5"/>
    <w:rsid w:val="0008480F"/>
    <w:rsid w:val="000A4D65"/>
    <w:rsid w:val="000B72C2"/>
    <w:rsid w:val="00115B4C"/>
    <w:rsid w:val="0013705A"/>
    <w:rsid w:val="001523B5"/>
    <w:rsid w:val="001A0DD8"/>
    <w:rsid w:val="001B135C"/>
    <w:rsid w:val="001D5859"/>
    <w:rsid w:val="002029AA"/>
    <w:rsid w:val="002240F1"/>
    <w:rsid w:val="00245105"/>
    <w:rsid w:val="00283D8B"/>
    <w:rsid w:val="00290C2B"/>
    <w:rsid w:val="00293303"/>
    <w:rsid w:val="002D1167"/>
    <w:rsid w:val="002D56DC"/>
    <w:rsid w:val="002D6F7B"/>
    <w:rsid w:val="002F7907"/>
    <w:rsid w:val="00355A2C"/>
    <w:rsid w:val="00356659"/>
    <w:rsid w:val="00391207"/>
    <w:rsid w:val="003C4BA7"/>
    <w:rsid w:val="003E21BA"/>
    <w:rsid w:val="003E36BF"/>
    <w:rsid w:val="003F068E"/>
    <w:rsid w:val="003F57DE"/>
    <w:rsid w:val="004325A7"/>
    <w:rsid w:val="00442C59"/>
    <w:rsid w:val="00457E04"/>
    <w:rsid w:val="004865BE"/>
    <w:rsid w:val="00495C5A"/>
    <w:rsid w:val="005119BC"/>
    <w:rsid w:val="00532592"/>
    <w:rsid w:val="00534B78"/>
    <w:rsid w:val="00584526"/>
    <w:rsid w:val="005941BC"/>
    <w:rsid w:val="006043C3"/>
    <w:rsid w:val="00614D22"/>
    <w:rsid w:val="0062495A"/>
    <w:rsid w:val="00647001"/>
    <w:rsid w:val="006D7C3C"/>
    <w:rsid w:val="006E7A14"/>
    <w:rsid w:val="00720867"/>
    <w:rsid w:val="007259A0"/>
    <w:rsid w:val="0077537E"/>
    <w:rsid w:val="007830A7"/>
    <w:rsid w:val="007A794C"/>
    <w:rsid w:val="00811F79"/>
    <w:rsid w:val="00822013"/>
    <w:rsid w:val="008865FB"/>
    <w:rsid w:val="008D0BF9"/>
    <w:rsid w:val="008F0892"/>
    <w:rsid w:val="00914E8E"/>
    <w:rsid w:val="009D485F"/>
    <w:rsid w:val="00A25298"/>
    <w:rsid w:val="00A65B3B"/>
    <w:rsid w:val="00A67952"/>
    <w:rsid w:val="00AF366A"/>
    <w:rsid w:val="00B164D4"/>
    <w:rsid w:val="00C648DE"/>
    <w:rsid w:val="00CB6E67"/>
    <w:rsid w:val="00D1501B"/>
    <w:rsid w:val="00D24BC7"/>
    <w:rsid w:val="00D578F5"/>
    <w:rsid w:val="00D90623"/>
    <w:rsid w:val="00D91D47"/>
    <w:rsid w:val="00DC1687"/>
    <w:rsid w:val="00E05BCF"/>
    <w:rsid w:val="00E27CAD"/>
    <w:rsid w:val="00E47408"/>
    <w:rsid w:val="00E8092A"/>
    <w:rsid w:val="00E8169A"/>
    <w:rsid w:val="00ED28D3"/>
    <w:rsid w:val="00EF7C78"/>
    <w:rsid w:val="00F57816"/>
    <w:rsid w:val="00FB6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6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5A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2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5A7"/>
  </w:style>
  <w:style w:type="paragraph" w:styleId="Stopka">
    <w:name w:val="footer"/>
    <w:basedOn w:val="Normalny"/>
    <w:link w:val="StopkaZnak"/>
    <w:uiPriority w:val="99"/>
    <w:unhideWhenUsed/>
    <w:rsid w:val="00432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5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EE500779-C2B2-4928-A0E5-8EBB84013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1398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f.kondracka</dc:creator>
  <cp:keywords/>
  <dc:description/>
  <cp:lastModifiedBy>p.jedrzejczyk</cp:lastModifiedBy>
  <cp:revision>4</cp:revision>
  <cp:lastPrinted>2014-06-16T08:56:00Z</cp:lastPrinted>
  <dcterms:created xsi:type="dcterms:W3CDTF">2014-06-16T08:54:00Z</dcterms:created>
  <dcterms:modified xsi:type="dcterms:W3CDTF">2014-06-16T09:37:00Z</dcterms:modified>
</cp:coreProperties>
</file>